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0C" w:rsidRPr="00620542" w:rsidRDefault="00620542" w:rsidP="00620542">
      <w:pPr>
        <w:autoSpaceDE w:val="0"/>
        <w:autoSpaceDN w:val="0"/>
        <w:adjustRightInd w:val="0"/>
        <w:ind w:left="480"/>
        <w:jc w:val="center"/>
        <w:rPr>
          <w:rFonts w:ascii="標楷體" w:eastAsia="標楷體" w:hAnsi="標楷體" w:cs="標楷體"/>
          <w:color w:val="000000"/>
          <w:kern w:val="0"/>
          <w:sz w:val="48"/>
          <w:szCs w:val="48"/>
        </w:rPr>
      </w:pPr>
      <w:r>
        <w:rPr>
          <w:rFonts w:ascii="標楷體" w:eastAsia="標楷體" w:hAnsi="標楷體"/>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-259128</wp:posOffset>
                </wp:positionV>
                <wp:extent cx="1311215" cy="319178"/>
                <wp:effectExtent l="0" t="0" r="22860" b="24130"/>
                <wp:wrapNone/>
                <wp:docPr id="1" name="文字方塊 1"/>
                <wp:cNvGraphicFramePr/>
                <a:graphic xmlns:a="http://schemas.openxmlformats.org/drawingml/2006/main">
                  <a:graphicData uri="http://schemas.microsoft.com/office/word/2010/wordprocessingShape">
                    <wps:wsp>
                      <wps:cNvSpPr txBox="1"/>
                      <wps:spPr>
                        <a:xfrm>
                          <a:off x="0" y="0"/>
                          <a:ext cx="1311215" cy="3191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0542" w:rsidRDefault="00620542">
                            <w:bookmarkStart w:id="0" w:name="_GoBack"/>
                            <w:r>
                              <w:rPr>
                                <w:rFonts w:hint="eastAsia"/>
                              </w:rPr>
                              <w:t>9</w:t>
                            </w:r>
                            <w:r>
                              <w:rPr>
                                <w:rFonts w:hint="eastAsia"/>
                              </w:rPr>
                              <w:t>年級補充資料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3pt;margin-top:-20.4pt;width:103.2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" fillcolor="white [3201]" strokeweight=".5pt">
                <v:textbox>
                  <w:txbxContent>
                    <w:p w:rsidR="00620542" w:rsidRDefault="00620542">
                      <w:bookmarkStart w:id="1" w:name="_GoBack"/>
                      <w:r>
                        <w:rPr>
                          <w:rFonts w:hint="eastAsia"/>
                        </w:rPr>
                        <w:t>9</w:t>
                      </w:r>
                      <w:r>
                        <w:rPr>
                          <w:rFonts w:hint="eastAsia"/>
                        </w:rPr>
                        <w:t>年級補充資料</w:t>
                      </w:r>
                      <w:bookmarkEnd w:id="1"/>
                    </w:p>
                  </w:txbxContent>
                </v:textbox>
              </v:shape>
            </w:pict>
          </mc:Fallback>
        </mc:AlternateContent>
      </w:r>
      <w:r w:rsidR="00D6770C" w:rsidRPr="00DE0CFC">
        <w:rPr>
          <w:rFonts w:ascii="標楷體" w:eastAsia="標楷體" w:hAnsi="標楷體"/>
          <w:b/>
          <w:sz w:val="40"/>
          <w:szCs w:val="40"/>
        </w:rPr>
        <w:t>基北區高級中等學校免試入學作業要點</w:t>
      </w:r>
      <w:r w:rsidR="00D6770C" w:rsidRPr="00DE0CFC">
        <w:rPr>
          <w:rFonts w:ascii="標楷體" w:eastAsia="標楷體" w:hAnsi="標楷體" w:hint="eastAsia"/>
          <w:b/>
          <w:sz w:val="40"/>
          <w:szCs w:val="40"/>
        </w:rPr>
        <w:t>節錄</w:t>
      </w:r>
    </w:p>
    <w:p w:rsidR="00D6770C" w:rsidRDefault="00D6770C" w:rsidP="00D6770C">
      <w:pPr>
        <w:numPr>
          <w:ilvl w:val="0"/>
          <w:numId w:val="1"/>
        </w:numPr>
        <w:spacing w:line="360" w:lineRule="auto"/>
      </w:pPr>
      <w:r>
        <w:t>報名志願</w:t>
      </w:r>
      <w:r>
        <w:rPr>
          <w:rFonts w:hint="eastAsia"/>
        </w:rPr>
        <w:t>：</w:t>
      </w:r>
    </w:p>
    <w:p w:rsidR="00D6770C" w:rsidRDefault="00D6770C" w:rsidP="00D6770C">
      <w:pPr>
        <w:numPr>
          <w:ilvl w:val="0"/>
          <w:numId w:val="2"/>
        </w:numPr>
        <w:spacing w:line="360" w:lineRule="auto"/>
      </w:pPr>
      <w:r>
        <w:t>志願由報名學生自行選填，至多選填</w:t>
      </w:r>
      <w:r>
        <w:t>30</w:t>
      </w:r>
      <w:r>
        <w:t>個。志願</w:t>
      </w:r>
      <w:proofErr w:type="gramStart"/>
      <w:r>
        <w:t>選填以校</w:t>
      </w:r>
      <w:proofErr w:type="gramEnd"/>
      <w:r>
        <w:t>為單位，且不限定公、私立</w:t>
      </w:r>
      <w:r>
        <w:rPr>
          <w:rFonts w:hint="eastAsia"/>
        </w:rPr>
        <w:t>科</w:t>
      </w:r>
      <w:r>
        <w:t>別及學校類型。</w:t>
      </w:r>
    </w:p>
    <w:p w:rsidR="00D6770C" w:rsidRDefault="00D6770C" w:rsidP="00D6770C">
      <w:pPr>
        <w:numPr>
          <w:ilvl w:val="0"/>
          <w:numId w:val="3"/>
        </w:numPr>
        <w:spacing w:line="360" w:lineRule="auto"/>
      </w:pPr>
      <w:r>
        <w:t>如高級中等學校設有兩個以上</w:t>
      </w:r>
      <w:proofErr w:type="gramStart"/>
      <w:r>
        <w:t>之類科</w:t>
      </w:r>
      <w:proofErr w:type="gramEnd"/>
      <w:r>
        <w:t>（含普通科、專業群科或綜合高中學程），學生連續選</w:t>
      </w:r>
      <w:proofErr w:type="gramStart"/>
      <w:r>
        <w:t>填該校之類科</w:t>
      </w:r>
      <w:proofErr w:type="gramEnd"/>
      <w:r>
        <w:t>志願，不限定類科別</w:t>
      </w:r>
      <w:proofErr w:type="gramStart"/>
      <w:r>
        <w:t>數均計為</w:t>
      </w:r>
      <w:proofErr w:type="gramEnd"/>
      <w:r>
        <w:t>同一志願（積分相同）；「同校</w:t>
      </w:r>
      <w:proofErr w:type="gramStart"/>
      <w:r>
        <w:t>不</w:t>
      </w:r>
      <w:proofErr w:type="gramEnd"/>
      <w:r>
        <w:t>同類科」於不同</w:t>
      </w:r>
      <w:proofErr w:type="gramStart"/>
      <w:r>
        <w:t>志願序選填</w:t>
      </w:r>
      <w:proofErr w:type="gramEnd"/>
      <w:r>
        <w:t>，則依該志願序積分</w:t>
      </w:r>
      <w:proofErr w:type="gramStart"/>
      <w:r>
        <w:t>採</w:t>
      </w:r>
      <w:proofErr w:type="gramEnd"/>
      <w:r>
        <w:t>計。</w:t>
      </w:r>
    </w:p>
    <w:p w:rsidR="00D6770C" w:rsidRDefault="00D6770C" w:rsidP="00D6770C">
      <w:pPr>
        <w:numPr>
          <w:ilvl w:val="0"/>
          <w:numId w:val="1"/>
        </w:numPr>
        <w:spacing w:line="360" w:lineRule="auto"/>
        <w:ind w:left="851" w:hanging="851"/>
      </w:pPr>
      <w:r>
        <w:t>錄取方式：報名學生選填志願，</w:t>
      </w:r>
      <w:proofErr w:type="gramStart"/>
      <w:r>
        <w:t>每生依</w:t>
      </w:r>
      <w:proofErr w:type="gramEnd"/>
      <w:r>
        <w:t>志願序以錄取</w:t>
      </w:r>
      <w:r>
        <w:t xml:space="preserve"> 1 </w:t>
      </w:r>
      <w:proofErr w:type="gramStart"/>
      <w:r>
        <w:t>個</w:t>
      </w:r>
      <w:proofErr w:type="gramEnd"/>
      <w:r>
        <w:t>校</w:t>
      </w:r>
      <w:r>
        <w:t>(</w:t>
      </w:r>
      <w:r>
        <w:t>科</w:t>
      </w:r>
      <w:r>
        <w:t>)</w:t>
      </w:r>
      <w:r>
        <w:t>為限。如各高級中等學校</w:t>
      </w:r>
      <w:proofErr w:type="gramStart"/>
      <w:r>
        <w:t>校</w:t>
      </w:r>
      <w:proofErr w:type="gramEnd"/>
      <w:r>
        <w:t>(</w:t>
      </w:r>
      <w:r>
        <w:t>科報名人數未超過招生名額時，全額錄取；若報名人數超過招生名額時，則依「</w:t>
      </w:r>
      <w:proofErr w:type="gramStart"/>
      <w:r>
        <w:t>超額比序項目</w:t>
      </w:r>
      <w:proofErr w:type="gramEnd"/>
      <w:r>
        <w:t>積分對照表」</w:t>
      </w:r>
      <w:r>
        <w:t>(</w:t>
      </w:r>
      <w:r>
        <w:t>詳附表</w:t>
      </w:r>
      <w:r>
        <w:t>)</w:t>
      </w:r>
      <w:proofErr w:type="gramStart"/>
      <w:r>
        <w:t>進行比序</w:t>
      </w:r>
      <w:proofErr w:type="gramEnd"/>
      <w:r>
        <w:t>。</w:t>
      </w:r>
    </w:p>
    <w:p w:rsidR="00D6770C" w:rsidRDefault="00D6770C" w:rsidP="00D6770C">
      <w:pPr>
        <w:numPr>
          <w:ilvl w:val="0"/>
          <w:numId w:val="1"/>
        </w:numPr>
        <w:spacing w:line="360" w:lineRule="auto"/>
      </w:pPr>
      <w:proofErr w:type="gramStart"/>
      <w:r>
        <w:t>超額比序項目</w:t>
      </w:r>
      <w:proofErr w:type="gramEnd"/>
      <w:r>
        <w:t>：</w:t>
      </w:r>
    </w:p>
    <w:p w:rsidR="00D6770C" w:rsidRDefault="00D6770C" w:rsidP="00D6770C">
      <w:pPr>
        <w:numPr>
          <w:ilvl w:val="0"/>
          <w:numId w:val="4"/>
        </w:numPr>
        <w:spacing w:line="360" w:lineRule="auto"/>
      </w:pPr>
      <w:proofErr w:type="gramStart"/>
      <w:r>
        <w:t>比序項目</w:t>
      </w:r>
      <w:proofErr w:type="gramEnd"/>
      <w:r>
        <w:t>包括志願序、多元學習表現</w:t>
      </w:r>
      <w:r>
        <w:t>(</w:t>
      </w:r>
      <w:r>
        <w:t>含均衡學習、服務學習</w:t>
      </w:r>
      <w:r>
        <w:t>)</w:t>
      </w:r>
      <w:r>
        <w:t>、國中教育會考。</w:t>
      </w:r>
      <w:r>
        <w:t xml:space="preserve"> </w:t>
      </w:r>
    </w:p>
    <w:p w:rsidR="00D6770C" w:rsidRDefault="00D6770C" w:rsidP="00D6770C">
      <w:pPr>
        <w:numPr>
          <w:ilvl w:val="0"/>
          <w:numId w:val="4"/>
        </w:numPr>
        <w:spacing w:line="360" w:lineRule="auto"/>
      </w:pPr>
      <w:r>
        <w:t>多元學習表現之均衡學習除國中學生在校健康與體育、藝術與人文、綜合活動領域之學習領</w:t>
      </w:r>
      <w:r>
        <w:rPr>
          <w:rFonts w:hint="eastAsia"/>
        </w:rPr>
        <w:t xml:space="preserve">  </w:t>
      </w:r>
    </w:p>
    <w:p w:rsidR="00D6770C" w:rsidRDefault="00D6770C" w:rsidP="00D6770C">
      <w:pPr>
        <w:spacing w:line="360" w:lineRule="auto"/>
        <w:ind w:left="840"/>
      </w:pPr>
      <w:r>
        <w:rPr>
          <w:rFonts w:hint="eastAsia"/>
        </w:rPr>
        <w:t xml:space="preserve"> </w:t>
      </w:r>
      <w:r>
        <w:t>域評量成績及格與否外，其他在校學習領域評量成績均不</w:t>
      </w:r>
      <w:proofErr w:type="gramStart"/>
      <w:r>
        <w:t>採</w:t>
      </w:r>
      <w:proofErr w:type="gramEnd"/>
      <w:r>
        <w:t>計。</w:t>
      </w:r>
      <w:r>
        <w:t xml:space="preserve"> </w:t>
      </w:r>
    </w:p>
    <w:p w:rsidR="00D6770C" w:rsidRDefault="00D6770C" w:rsidP="00D6770C">
      <w:pPr>
        <w:numPr>
          <w:ilvl w:val="0"/>
          <w:numId w:val="1"/>
        </w:numPr>
        <w:spacing w:line="360" w:lineRule="auto"/>
      </w:pPr>
      <w:proofErr w:type="gramStart"/>
      <w:r>
        <w:t>比序順次</w:t>
      </w:r>
      <w:proofErr w:type="gramEnd"/>
      <w:r>
        <w:t>：</w:t>
      </w:r>
      <w:r>
        <w:t xml:space="preserve"> </w:t>
      </w:r>
    </w:p>
    <w:p w:rsidR="00D6770C" w:rsidRPr="00AE368C" w:rsidRDefault="00D6770C" w:rsidP="00D6770C">
      <w:pPr>
        <w:numPr>
          <w:ilvl w:val="0"/>
          <w:numId w:val="5"/>
        </w:numPr>
        <w:spacing w:line="360" w:lineRule="auto"/>
        <w:rPr>
          <w:rFonts w:ascii="新細明體" w:hAnsi="新細明體"/>
        </w:rPr>
      </w:pPr>
      <w:r w:rsidRPr="00AE368C">
        <w:rPr>
          <w:rFonts w:ascii="新細明體" w:hAnsi="新細明體"/>
        </w:rPr>
        <w:t>第一順次：由志願序積分、多元學習表現(含均衡學習、服務學習)積分與國中教育會考等級加標示及寫作測驗之換算積分加總為總積分，並依總積分</w:t>
      </w:r>
      <w:proofErr w:type="gramStart"/>
      <w:r w:rsidRPr="00AE368C">
        <w:rPr>
          <w:rFonts w:ascii="新細明體" w:hAnsi="新細明體"/>
        </w:rPr>
        <w:t>進行比序</w:t>
      </w:r>
      <w:proofErr w:type="gramEnd"/>
      <w:r w:rsidRPr="00AE368C">
        <w:rPr>
          <w:rFonts w:ascii="新細明體" w:hAnsi="新細明體"/>
        </w:rPr>
        <w:t>。</w:t>
      </w:r>
    </w:p>
    <w:p w:rsidR="00D6770C" w:rsidRPr="00AE368C" w:rsidRDefault="00D6770C" w:rsidP="00D6770C">
      <w:pPr>
        <w:numPr>
          <w:ilvl w:val="0"/>
          <w:numId w:val="5"/>
        </w:numPr>
        <w:spacing w:line="360" w:lineRule="auto"/>
        <w:rPr>
          <w:rFonts w:ascii="新細明體" w:hAnsi="新細明體"/>
        </w:rPr>
      </w:pPr>
      <w:r w:rsidRPr="00AE368C">
        <w:rPr>
          <w:rFonts w:ascii="新細明體" w:hAnsi="新細明體"/>
        </w:rPr>
        <w:t>第二順次：第一順次</w:t>
      </w:r>
      <w:proofErr w:type="gramStart"/>
      <w:r w:rsidRPr="00AE368C">
        <w:rPr>
          <w:rFonts w:ascii="新細明體" w:hAnsi="新細明體"/>
        </w:rPr>
        <w:t>比序同</w:t>
      </w:r>
      <w:proofErr w:type="gramEnd"/>
      <w:r w:rsidRPr="00AE368C">
        <w:rPr>
          <w:rFonts w:ascii="新細明體" w:hAnsi="新細明體"/>
        </w:rPr>
        <w:t>分，則依多元學習表現(含均衡學習、服務學習)積分，</w:t>
      </w:r>
      <w:proofErr w:type="gramStart"/>
      <w:r w:rsidRPr="00AE368C">
        <w:rPr>
          <w:rFonts w:ascii="新細明體" w:hAnsi="新細明體"/>
        </w:rPr>
        <w:t>進行比序</w:t>
      </w:r>
      <w:proofErr w:type="gramEnd"/>
      <w:r w:rsidRPr="00AE368C">
        <w:rPr>
          <w:rFonts w:ascii="新細明體" w:hAnsi="新細明體"/>
        </w:rPr>
        <w:t>。</w:t>
      </w:r>
    </w:p>
    <w:p w:rsidR="00D6770C" w:rsidRPr="00AE368C" w:rsidRDefault="00D6770C" w:rsidP="00D6770C">
      <w:pPr>
        <w:numPr>
          <w:ilvl w:val="0"/>
          <w:numId w:val="5"/>
        </w:numPr>
        <w:spacing w:line="360" w:lineRule="auto"/>
        <w:rPr>
          <w:rFonts w:ascii="新細明體" w:hAnsi="新細明體"/>
        </w:rPr>
      </w:pPr>
      <w:r w:rsidRPr="00AE368C">
        <w:rPr>
          <w:rFonts w:ascii="新細明體" w:hAnsi="新細明體"/>
        </w:rPr>
        <w:t>第三順次：第二順次</w:t>
      </w:r>
      <w:proofErr w:type="gramStart"/>
      <w:r w:rsidRPr="00AE368C">
        <w:rPr>
          <w:rFonts w:ascii="新細明體" w:hAnsi="新細明體"/>
        </w:rPr>
        <w:t>比序同</w:t>
      </w:r>
      <w:proofErr w:type="gramEnd"/>
      <w:r w:rsidRPr="00AE368C">
        <w:rPr>
          <w:rFonts w:ascii="新細明體" w:hAnsi="新細明體"/>
        </w:rPr>
        <w:t>分，則依國中教育會考等級加標示及寫作測驗之換算積分加總</w:t>
      </w:r>
      <w:proofErr w:type="gramStart"/>
      <w:r w:rsidRPr="00AE368C">
        <w:rPr>
          <w:rFonts w:ascii="新細明體" w:hAnsi="新細明體"/>
        </w:rPr>
        <w:t>進行比序</w:t>
      </w:r>
      <w:proofErr w:type="gramEnd"/>
      <w:r w:rsidRPr="00AE368C">
        <w:rPr>
          <w:rFonts w:ascii="新細明體" w:hAnsi="新細明體"/>
        </w:rPr>
        <w:t xml:space="preserve">。 </w:t>
      </w:r>
    </w:p>
    <w:p w:rsidR="00D6770C" w:rsidRPr="00AE368C" w:rsidRDefault="00D6770C" w:rsidP="00D6770C">
      <w:pPr>
        <w:numPr>
          <w:ilvl w:val="0"/>
          <w:numId w:val="5"/>
        </w:numPr>
        <w:spacing w:line="360" w:lineRule="auto"/>
        <w:rPr>
          <w:rFonts w:ascii="新細明體" w:hAnsi="新細明體"/>
        </w:rPr>
      </w:pPr>
      <w:r w:rsidRPr="00AE368C">
        <w:rPr>
          <w:rFonts w:ascii="新細明體" w:hAnsi="新細明體"/>
        </w:rPr>
        <w:t>第四順次：第三順次</w:t>
      </w:r>
      <w:proofErr w:type="gramStart"/>
      <w:r w:rsidRPr="00AE368C">
        <w:rPr>
          <w:rFonts w:ascii="新細明體" w:hAnsi="新細明體"/>
        </w:rPr>
        <w:t>比序同</w:t>
      </w:r>
      <w:proofErr w:type="gramEnd"/>
      <w:r w:rsidRPr="00AE368C">
        <w:rPr>
          <w:rFonts w:ascii="新細明體" w:hAnsi="新細明體"/>
        </w:rPr>
        <w:t>分，則依志願序積分</w:t>
      </w:r>
      <w:proofErr w:type="gramStart"/>
      <w:r w:rsidRPr="00AE368C">
        <w:rPr>
          <w:rFonts w:ascii="新細明體" w:hAnsi="新細明體"/>
        </w:rPr>
        <w:t>進行比序</w:t>
      </w:r>
      <w:proofErr w:type="gramEnd"/>
      <w:r w:rsidRPr="00AE368C">
        <w:rPr>
          <w:rFonts w:ascii="新細明體" w:hAnsi="新細明體"/>
        </w:rPr>
        <w:t xml:space="preserve">。 </w:t>
      </w:r>
    </w:p>
    <w:p w:rsidR="00D6770C" w:rsidRPr="00AE368C" w:rsidRDefault="00D6770C" w:rsidP="00D6770C">
      <w:pPr>
        <w:numPr>
          <w:ilvl w:val="0"/>
          <w:numId w:val="5"/>
        </w:numPr>
        <w:spacing w:line="360" w:lineRule="auto"/>
        <w:rPr>
          <w:rFonts w:ascii="新細明體" w:hAnsi="新細明體"/>
        </w:rPr>
      </w:pPr>
      <w:r w:rsidRPr="00AE368C">
        <w:rPr>
          <w:rFonts w:ascii="新細明體" w:hAnsi="新細明體"/>
        </w:rPr>
        <w:t>如經第四順次</w:t>
      </w:r>
      <w:proofErr w:type="gramStart"/>
      <w:r w:rsidRPr="00AE368C">
        <w:rPr>
          <w:rFonts w:ascii="新細明體" w:hAnsi="新細明體"/>
        </w:rPr>
        <w:t>比序後</w:t>
      </w:r>
      <w:proofErr w:type="gramEnd"/>
      <w:r w:rsidRPr="00AE368C">
        <w:rPr>
          <w:rFonts w:ascii="新細明體" w:hAnsi="新細明體"/>
        </w:rPr>
        <w:t>仍同分時，採用國中教育會考各科等級加標示</w:t>
      </w:r>
      <w:proofErr w:type="gramStart"/>
      <w:r w:rsidRPr="00AE368C">
        <w:rPr>
          <w:rFonts w:ascii="新細明體" w:hAnsi="新細明體"/>
        </w:rPr>
        <w:t>進行比序</w:t>
      </w:r>
      <w:proofErr w:type="gramEnd"/>
      <w:r w:rsidRPr="00AE368C">
        <w:rPr>
          <w:rFonts w:ascii="新細明體" w:hAnsi="新細明體"/>
        </w:rPr>
        <w:t xml:space="preserve">，依序為國文科等級加標示、數學科等級加標示、英語科等級加標示、社會科等級加標示、 自然科等級加標示、寫作測驗。 </w:t>
      </w:r>
    </w:p>
    <w:p w:rsidR="00D6770C" w:rsidRDefault="00D6770C" w:rsidP="00D6770C">
      <w:pPr>
        <w:numPr>
          <w:ilvl w:val="0"/>
          <w:numId w:val="5"/>
        </w:numPr>
        <w:spacing w:line="360" w:lineRule="auto"/>
        <w:rPr>
          <w:rFonts w:ascii="新細明體" w:hAnsi="新細明體"/>
        </w:rPr>
      </w:pPr>
      <w:r w:rsidRPr="009960BE">
        <w:rPr>
          <w:rFonts w:ascii="新細明體" w:hAnsi="新細明體"/>
        </w:rPr>
        <w:t>如經前項</w:t>
      </w:r>
      <w:proofErr w:type="gramStart"/>
      <w:r w:rsidRPr="009960BE">
        <w:rPr>
          <w:rFonts w:ascii="新細明體" w:hAnsi="新細明體"/>
        </w:rPr>
        <w:t>比序仍</w:t>
      </w:r>
      <w:proofErr w:type="gramEnd"/>
      <w:r w:rsidRPr="009960BE">
        <w:rPr>
          <w:rFonts w:ascii="新細明體" w:hAnsi="新細明體"/>
        </w:rPr>
        <w:t xml:space="preserve">同分時，報各該主管機關核准增加名額，增額人數以不超過該校(科)之招生名額 5%為原則；如增額人數逾該校(科)之招生名額 5% ，增額部分依學生實際選填之志願順序於招生名額 5%以內依序錄取。 </w:t>
      </w:r>
    </w:p>
    <w:p w:rsidR="00D6770C" w:rsidRPr="00620542" w:rsidRDefault="00D6770C" w:rsidP="00620542">
      <w:pPr>
        <w:numPr>
          <w:ilvl w:val="0"/>
          <w:numId w:val="5"/>
        </w:numPr>
        <w:spacing w:line="360" w:lineRule="auto"/>
        <w:rPr>
          <w:rFonts w:ascii="新細明體" w:hAnsi="新細明體"/>
        </w:rPr>
      </w:pPr>
      <w:r w:rsidRPr="009960BE">
        <w:rPr>
          <w:rFonts w:ascii="新細明體" w:hAnsi="新細明體"/>
        </w:rPr>
        <w:t>如經上述適當之處理後仍有超額情形，以增加名額錄取。</w:t>
      </w:r>
    </w:p>
    <w:p w:rsidR="00D6770C" w:rsidRPr="00DE0CFC" w:rsidRDefault="00D6770C" w:rsidP="00D6770C">
      <w:pPr>
        <w:autoSpaceDE w:val="0"/>
        <w:autoSpaceDN w:val="0"/>
        <w:adjustRightInd w:val="0"/>
        <w:jc w:val="center"/>
        <w:rPr>
          <w:rFonts w:ascii="標楷體" w:eastAsia="標楷體" w:hAnsi="標楷體"/>
          <w:b/>
          <w:sz w:val="36"/>
          <w:szCs w:val="36"/>
        </w:rPr>
      </w:pPr>
      <w:r w:rsidRPr="00DE0CFC">
        <w:rPr>
          <w:rFonts w:ascii="標楷體" w:eastAsia="標楷體" w:hAnsi="標楷體" w:hint="eastAsia"/>
          <w:b/>
          <w:sz w:val="36"/>
          <w:szCs w:val="36"/>
        </w:rPr>
        <w:lastRenderedPageBreak/>
        <w:t>基北區高級中等學校免試入學</w:t>
      </w:r>
      <w:proofErr w:type="gramStart"/>
      <w:r w:rsidRPr="00DE0CFC">
        <w:rPr>
          <w:rFonts w:ascii="標楷體" w:eastAsia="標楷體" w:hAnsi="標楷體" w:hint="eastAsia"/>
          <w:b/>
          <w:sz w:val="36"/>
          <w:szCs w:val="36"/>
        </w:rPr>
        <w:t>超額比序項目</w:t>
      </w:r>
      <w:proofErr w:type="gramEnd"/>
      <w:r w:rsidRPr="00DE0CFC">
        <w:rPr>
          <w:rFonts w:ascii="標楷體" w:eastAsia="標楷體" w:hAnsi="標楷體" w:hint="eastAsia"/>
          <w:b/>
          <w:sz w:val="36"/>
          <w:szCs w:val="36"/>
        </w:rPr>
        <w:t>積分對照表</w:t>
      </w:r>
    </w:p>
    <w:tbl>
      <w:tblPr>
        <w:tblpPr w:leftFromText="180" w:rightFromText="180" w:vertAnchor="text" w:tblpXSpec="center" w:tblpY="1"/>
        <w:tblOverlap w:val="never"/>
        <w:tblW w:w="10491" w:type="dxa"/>
        <w:tblLayout w:type="fixed"/>
        <w:tblCellMar>
          <w:left w:w="0" w:type="dxa"/>
          <w:right w:w="0" w:type="dxa"/>
        </w:tblCellMar>
        <w:tblLook w:val="04A0" w:firstRow="1" w:lastRow="0" w:firstColumn="1" w:lastColumn="0" w:noHBand="0" w:noVBand="1"/>
      </w:tblPr>
      <w:tblGrid>
        <w:gridCol w:w="584"/>
        <w:gridCol w:w="512"/>
        <w:gridCol w:w="697"/>
        <w:gridCol w:w="657"/>
        <w:gridCol w:w="561"/>
        <w:gridCol w:w="556"/>
        <w:gridCol w:w="625"/>
        <w:gridCol w:w="594"/>
        <w:gridCol w:w="567"/>
        <w:gridCol w:w="448"/>
        <w:gridCol w:w="4655"/>
        <w:gridCol w:w="35"/>
      </w:tblGrid>
      <w:tr w:rsidR="00D6770C" w:rsidRPr="00406A61" w:rsidTr="00893FA0">
        <w:trPr>
          <w:trHeight w:val="590"/>
          <w:tblHeader/>
        </w:trPr>
        <w:tc>
          <w:tcPr>
            <w:tcW w:w="584"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類別</w:t>
            </w:r>
          </w:p>
        </w:tc>
        <w:tc>
          <w:tcPr>
            <w:tcW w:w="51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項目</w:t>
            </w:r>
          </w:p>
        </w:tc>
        <w:tc>
          <w:tcPr>
            <w:tcW w:w="69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proofErr w:type="gramStart"/>
            <w:r w:rsidRPr="00406A61">
              <w:rPr>
                <w:rFonts w:hint="eastAsia"/>
                <w:szCs w:val="24"/>
              </w:rPr>
              <w:t>採</w:t>
            </w:r>
            <w:proofErr w:type="gramEnd"/>
            <w:r w:rsidRPr="00406A61">
              <w:rPr>
                <w:rFonts w:hint="eastAsia"/>
                <w:szCs w:val="24"/>
              </w:rPr>
              <w:t>計上限</w:t>
            </w:r>
          </w:p>
        </w:tc>
        <w:tc>
          <w:tcPr>
            <w:tcW w:w="4008" w:type="dxa"/>
            <w:gridSpan w:val="7"/>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積分換算</w:t>
            </w:r>
          </w:p>
        </w:tc>
        <w:tc>
          <w:tcPr>
            <w:tcW w:w="4655"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說明</w:t>
            </w:r>
          </w:p>
        </w:tc>
        <w:tc>
          <w:tcPr>
            <w:tcW w:w="35" w:type="dxa"/>
            <w:tcBorders>
              <w:top w:val="nil"/>
              <w:left w:val="nil"/>
              <w:bottom w:val="nil"/>
              <w:right w:val="nil"/>
            </w:tcBorders>
            <w:vAlign w:val="center"/>
            <w:hideMark/>
          </w:tcPr>
          <w:p w:rsidR="00D6770C" w:rsidRPr="00406A61" w:rsidRDefault="00D6770C" w:rsidP="00893FA0">
            <w:pPr>
              <w:rPr>
                <w:rFonts w:ascii="Arial" w:hAnsi="Arial" w:cs="Arial"/>
                <w:color w:val="434343"/>
                <w:kern w:val="0"/>
                <w:sz w:val="27"/>
                <w:szCs w:val="27"/>
              </w:rPr>
            </w:pPr>
            <w:r w:rsidRPr="00406A61">
              <w:rPr>
                <w:rFonts w:ascii="Arial" w:hAnsi="Arial" w:cs="Arial"/>
                <w:color w:val="434343"/>
                <w:kern w:val="0"/>
                <w:sz w:val="27"/>
                <w:szCs w:val="27"/>
              </w:rPr>
              <w:t> </w:t>
            </w:r>
          </w:p>
        </w:tc>
      </w:tr>
      <w:tr w:rsidR="00D6770C" w:rsidRPr="00406A61" w:rsidTr="00893FA0">
        <w:trPr>
          <w:trHeight w:val="684"/>
        </w:trPr>
        <w:tc>
          <w:tcPr>
            <w:tcW w:w="1096" w:type="dxa"/>
            <w:gridSpan w:val="2"/>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志願序</w:t>
            </w:r>
          </w:p>
        </w:tc>
        <w:tc>
          <w:tcPr>
            <w:tcW w:w="6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36</w:t>
            </w:r>
            <w:r w:rsidRPr="00406A61">
              <w:rPr>
                <w:rFonts w:hint="eastAsia"/>
                <w:szCs w:val="24"/>
              </w:rPr>
              <w:t>分</w:t>
            </w:r>
          </w:p>
        </w:tc>
        <w:tc>
          <w:tcPr>
            <w:tcW w:w="1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36</w:t>
            </w:r>
            <w:r w:rsidRPr="00406A61">
              <w:rPr>
                <w:rFonts w:hint="eastAsia"/>
                <w:szCs w:val="24"/>
              </w:rPr>
              <w:t>分</w:t>
            </w:r>
          </w:p>
        </w:tc>
        <w:tc>
          <w:tcPr>
            <w:tcW w:w="279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第</w:t>
            </w:r>
            <w:r w:rsidRPr="00406A61">
              <w:rPr>
                <w:rFonts w:ascii="Times New Roman" w:hAnsi="Times New Roman"/>
                <w:szCs w:val="24"/>
              </w:rPr>
              <w:t>1</w:t>
            </w:r>
            <w:r w:rsidRPr="00406A61">
              <w:rPr>
                <w:rFonts w:hint="eastAsia"/>
                <w:szCs w:val="24"/>
              </w:rPr>
              <w:t>至第</w:t>
            </w:r>
            <w:r w:rsidRPr="00406A61">
              <w:rPr>
                <w:rFonts w:ascii="Times New Roman" w:hAnsi="Times New Roman"/>
                <w:szCs w:val="24"/>
              </w:rPr>
              <w:t>5</w:t>
            </w:r>
            <w:r w:rsidRPr="00406A61">
              <w:rPr>
                <w:rFonts w:hint="eastAsia"/>
                <w:szCs w:val="24"/>
              </w:rPr>
              <w:t>志願</w:t>
            </w:r>
          </w:p>
        </w:tc>
        <w:tc>
          <w:tcPr>
            <w:tcW w:w="4655" w:type="dxa"/>
            <w:vMerge w:val="restart"/>
            <w:tcBorders>
              <w:top w:val="nil"/>
              <w:left w:val="nil"/>
              <w:bottom w:val="single" w:sz="8" w:space="0" w:color="auto"/>
              <w:right w:val="single" w:sz="12" w:space="0" w:color="auto"/>
            </w:tcBorders>
            <w:tcMar>
              <w:top w:w="0" w:type="dxa"/>
              <w:left w:w="108" w:type="dxa"/>
              <w:bottom w:w="0" w:type="dxa"/>
              <w:right w:w="108" w:type="dxa"/>
            </w:tcMar>
            <w:hideMark/>
          </w:tcPr>
          <w:p w:rsidR="00D6770C" w:rsidRPr="00406A61" w:rsidRDefault="00D6770C" w:rsidP="00893FA0">
            <w:pPr>
              <w:rPr>
                <w:rFonts w:ascii="Arial" w:hAnsi="Arial"/>
                <w:szCs w:val="24"/>
              </w:rPr>
            </w:pPr>
            <w:r>
              <w:rPr>
                <w:rFonts w:ascii="Times New Roman" w:hAnsi="Times New Roman"/>
                <w:szCs w:val="24"/>
              </w:rPr>
              <w:t>1.</w:t>
            </w:r>
            <w:r w:rsidRPr="00406A61">
              <w:rPr>
                <w:rFonts w:hint="eastAsia"/>
                <w:szCs w:val="24"/>
              </w:rPr>
              <w:t>國中學校應給予學生適性輔導，學生參考國中學生生涯輔導紀錄手冊之生涯發展規劃書，選填志願。</w:t>
            </w:r>
          </w:p>
          <w:p w:rsidR="00D6770C" w:rsidRPr="00406A61" w:rsidRDefault="00D6770C" w:rsidP="00893FA0">
            <w:pPr>
              <w:rPr>
                <w:rFonts w:ascii="Arial" w:hAnsi="Arial"/>
                <w:szCs w:val="24"/>
              </w:rPr>
            </w:pPr>
            <w:r w:rsidRPr="00406A61">
              <w:rPr>
                <w:rFonts w:ascii="Times New Roman" w:hAnsi="Times New Roman"/>
                <w:szCs w:val="24"/>
              </w:rPr>
              <w:t>2.</w:t>
            </w:r>
            <w:r w:rsidRPr="00406A61">
              <w:rPr>
                <w:rFonts w:hint="eastAsia"/>
                <w:szCs w:val="24"/>
              </w:rPr>
              <w:t>如高級中等學校設有兩個</w:t>
            </w:r>
            <w:proofErr w:type="gramStart"/>
            <w:r w:rsidRPr="00406A61">
              <w:rPr>
                <w:rFonts w:hint="eastAsia"/>
                <w:szCs w:val="24"/>
              </w:rPr>
              <w:t>以上類</w:t>
            </w:r>
            <w:proofErr w:type="gramEnd"/>
            <w:r w:rsidRPr="00406A61">
              <w:rPr>
                <w:rFonts w:hint="eastAsia"/>
                <w:szCs w:val="24"/>
              </w:rPr>
              <w:t>科（含普通科、專業群科或綜合高中學程），連續選</w:t>
            </w:r>
            <w:proofErr w:type="gramStart"/>
            <w:r w:rsidRPr="00406A61">
              <w:rPr>
                <w:rFonts w:hint="eastAsia"/>
                <w:szCs w:val="24"/>
              </w:rPr>
              <w:t>填該校之類科</w:t>
            </w:r>
            <w:proofErr w:type="gramEnd"/>
            <w:r w:rsidRPr="00406A61">
              <w:rPr>
                <w:rFonts w:hint="eastAsia"/>
                <w:szCs w:val="24"/>
              </w:rPr>
              <w:t>志願，不限定類科別</w:t>
            </w:r>
            <w:proofErr w:type="gramStart"/>
            <w:r w:rsidRPr="00406A61">
              <w:rPr>
                <w:rFonts w:hint="eastAsia"/>
                <w:szCs w:val="24"/>
              </w:rPr>
              <w:t>數均計為</w:t>
            </w:r>
            <w:proofErr w:type="gramEnd"/>
            <w:r w:rsidRPr="00406A61">
              <w:rPr>
                <w:rFonts w:hint="eastAsia"/>
                <w:szCs w:val="24"/>
              </w:rPr>
              <w:t>同一志願，積分相同；同校</w:t>
            </w:r>
            <w:proofErr w:type="gramStart"/>
            <w:r w:rsidRPr="00406A61">
              <w:rPr>
                <w:rFonts w:hint="eastAsia"/>
                <w:szCs w:val="24"/>
              </w:rPr>
              <w:t>不</w:t>
            </w:r>
            <w:proofErr w:type="gramEnd"/>
            <w:r w:rsidRPr="00406A61">
              <w:rPr>
                <w:rFonts w:hint="eastAsia"/>
                <w:szCs w:val="24"/>
              </w:rPr>
              <w:t>同類科，於不同</w:t>
            </w:r>
            <w:proofErr w:type="gramStart"/>
            <w:r w:rsidRPr="00406A61">
              <w:rPr>
                <w:rFonts w:hint="eastAsia"/>
                <w:szCs w:val="24"/>
              </w:rPr>
              <w:t>志願序選填</w:t>
            </w:r>
            <w:proofErr w:type="gramEnd"/>
            <w:r w:rsidRPr="00406A61">
              <w:rPr>
                <w:rFonts w:hint="eastAsia"/>
                <w:szCs w:val="24"/>
              </w:rPr>
              <w:t>，則依該志願序積分</w:t>
            </w:r>
            <w:proofErr w:type="gramStart"/>
            <w:r w:rsidRPr="00406A61">
              <w:rPr>
                <w:rFonts w:hint="eastAsia"/>
                <w:szCs w:val="24"/>
              </w:rPr>
              <w:t>採</w:t>
            </w:r>
            <w:proofErr w:type="gramEnd"/>
            <w:r w:rsidRPr="00406A61">
              <w:rPr>
                <w:rFonts w:hint="eastAsia"/>
                <w:szCs w:val="24"/>
              </w:rPr>
              <w:t>計。</w:t>
            </w:r>
          </w:p>
        </w:tc>
        <w:tc>
          <w:tcPr>
            <w:tcW w:w="35" w:type="dxa"/>
            <w:tcBorders>
              <w:top w:val="nil"/>
              <w:left w:val="nil"/>
              <w:bottom w:val="nil"/>
              <w:right w:val="nil"/>
            </w:tcBorders>
            <w:vAlign w:val="center"/>
            <w:hideMark/>
          </w:tcPr>
          <w:p w:rsidR="00D6770C" w:rsidRPr="00406A61" w:rsidRDefault="00D6770C" w:rsidP="00893FA0">
            <w:pPr>
              <w:rPr>
                <w:rFonts w:ascii="Arial" w:hAnsi="Arial" w:cs="Arial"/>
                <w:color w:val="434343"/>
                <w:kern w:val="0"/>
                <w:sz w:val="27"/>
                <w:szCs w:val="27"/>
              </w:rPr>
            </w:pPr>
            <w:r w:rsidRPr="00406A61">
              <w:rPr>
                <w:rFonts w:ascii="Arial" w:hAnsi="Arial" w:cs="Arial"/>
                <w:color w:val="434343"/>
                <w:kern w:val="0"/>
                <w:sz w:val="27"/>
                <w:szCs w:val="27"/>
              </w:rPr>
              <w:t> </w:t>
            </w:r>
          </w:p>
        </w:tc>
      </w:tr>
      <w:tr w:rsidR="00D6770C" w:rsidRPr="00406A61" w:rsidTr="00893FA0">
        <w:trPr>
          <w:trHeight w:val="680"/>
        </w:trPr>
        <w:tc>
          <w:tcPr>
            <w:tcW w:w="1096" w:type="dxa"/>
            <w:gridSpan w:val="2"/>
            <w:vMerge/>
            <w:tcBorders>
              <w:top w:val="nil"/>
              <w:left w:val="single" w:sz="12" w:space="0" w:color="auto"/>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697"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1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35</w:t>
            </w:r>
            <w:r w:rsidRPr="00406A61">
              <w:rPr>
                <w:rFonts w:hint="eastAsia"/>
                <w:szCs w:val="24"/>
              </w:rPr>
              <w:t>分</w:t>
            </w:r>
          </w:p>
        </w:tc>
        <w:tc>
          <w:tcPr>
            <w:tcW w:w="279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第</w:t>
            </w:r>
            <w:r w:rsidRPr="00406A61">
              <w:rPr>
                <w:rFonts w:ascii="Times New Roman" w:hAnsi="Times New Roman"/>
                <w:szCs w:val="24"/>
              </w:rPr>
              <w:t>6</w:t>
            </w:r>
            <w:r w:rsidRPr="00406A61">
              <w:rPr>
                <w:rFonts w:hint="eastAsia"/>
                <w:szCs w:val="24"/>
              </w:rPr>
              <w:t>至第</w:t>
            </w:r>
            <w:r w:rsidRPr="00406A61">
              <w:rPr>
                <w:rFonts w:ascii="Times New Roman" w:hAnsi="Times New Roman"/>
                <w:szCs w:val="24"/>
              </w:rPr>
              <w:t>10</w:t>
            </w:r>
            <w:r w:rsidRPr="00406A61">
              <w:rPr>
                <w:rFonts w:hint="eastAsia"/>
                <w:szCs w:val="24"/>
              </w:rPr>
              <w:t>志願</w:t>
            </w:r>
          </w:p>
        </w:tc>
        <w:tc>
          <w:tcPr>
            <w:tcW w:w="4655" w:type="dxa"/>
            <w:vMerge/>
            <w:tcBorders>
              <w:top w:val="nil"/>
              <w:left w:val="nil"/>
              <w:bottom w:val="single" w:sz="8" w:space="0" w:color="auto"/>
              <w:right w:val="single" w:sz="12" w:space="0" w:color="auto"/>
            </w:tcBorders>
            <w:vAlign w:val="center"/>
            <w:hideMark/>
          </w:tcPr>
          <w:p w:rsidR="00D6770C" w:rsidRPr="00406A61" w:rsidRDefault="00D6770C" w:rsidP="00893FA0">
            <w:pPr>
              <w:rPr>
                <w:rFonts w:ascii="Arial" w:hAnsi="Arial"/>
                <w:szCs w:val="24"/>
              </w:rPr>
            </w:pPr>
          </w:p>
        </w:tc>
        <w:tc>
          <w:tcPr>
            <w:tcW w:w="35" w:type="dxa"/>
            <w:tcBorders>
              <w:top w:val="nil"/>
              <w:left w:val="nil"/>
              <w:bottom w:val="nil"/>
              <w:right w:val="nil"/>
            </w:tcBorders>
            <w:vAlign w:val="center"/>
            <w:hideMark/>
          </w:tcPr>
          <w:p w:rsidR="00D6770C" w:rsidRPr="00406A61" w:rsidRDefault="00D6770C" w:rsidP="00893FA0">
            <w:pPr>
              <w:rPr>
                <w:rFonts w:ascii="Arial" w:hAnsi="Arial" w:cs="Arial"/>
                <w:color w:val="434343"/>
                <w:kern w:val="0"/>
                <w:sz w:val="27"/>
                <w:szCs w:val="27"/>
              </w:rPr>
            </w:pPr>
            <w:r w:rsidRPr="00406A61">
              <w:rPr>
                <w:rFonts w:ascii="Arial" w:hAnsi="Arial" w:cs="Arial"/>
                <w:color w:val="434343"/>
                <w:kern w:val="0"/>
                <w:sz w:val="27"/>
                <w:szCs w:val="27"/>
              </w:rPr>
              <w:t> </w:t>
            </w:r>
          </w:p>
        </w:tc>
      </w:tr>
      <w:tr w:rsidR="00D6770C" w:rsidRPr="00406A61" w:rsidTr="00893FA0">
        <w:trPr>
          <w:trHeight w:val="677"/>
        </w:trPr>
        <w:tc>
          <w:tcPr>
            <w:tcW w:w="1096" w:type="dxa"/>
            <w:gridSpan w:val="2"/>
            <w:vMerge/>
            <w:tcBorders>
              <w:top w:val="nil"/>
              <w:left w:val="single" w:sz="12" w:space="0" w:color="auto"/>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697"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1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34</w:t>
            </w:r>
            <w:r w:rsidRPr="00406A61">
              <w:rPr>
                <w:rFonts w:hint="eastAsia"/>
                <w:szCs w:val="24"/>
              </w:rPr>
              <w:t>分</w:t>
            </w:r>
          </w:p>
        </w:tc>
        <w:tc>
          <w:tcPr>
            <w:tcW w:w="279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第</w:t>
            </w:r>
            <w:r w:rsidRPr="00406A61">
              <w:rPr>
                <w:rFonts w:ascii="Times New Roman" w:hAnsi="Times New Roman"/>
                <w:szCs w:val="24"/>
              </w:rPr>
              <w:t>11</w:t>
            </w:r>
            <w:r w:rsidRPr="00406A61">
              <w:rPr>
                <w:rFonts w:hint="eastAsia"/>
                <w:szCs w:val="24"/>
              </w:rPr>
              <w:t>至第</w:t>
            </w:r>
            <w:r w:rsidRPr="00406A61">
              <w:rPr>
                <w:rFonts w:ascii="Times New Roman" w:hAnsi="Times New Roman"/>
                <w:szCs w:val="24"/>
              </w:rPr>
              <w:t>15</w:t>
            </w:r>
            <w:r w:rsidRPr="00406A61">
              <w:rPr>
                <w:rFonts w:hint="eastAsia"/>
                <w:szCs w:val="24"/>
              </w:rPr>
              <w:t>志願</w:t>
            </w:r>
          </w:p>
        </w:tc>
        <w:tc>
          <w:tcPr>
            <w:tcW w:w="4655" w:type="dxa"/>
            <w:vMerge/>
            <w:tcBorders>
              <w:top w:val="nil"/>
              <w:left w:val="nil"/>
              <w:bottom w:val="single" w:sz="8" w:space="0" w:color="auto"/>
              <w:right w:val="single" w:sz="12" w:space="0" w:color="auto"/>
            </w:tcBorders>
            <w:vAlign w:val="center"/>
            <w:hideMark/>
          </w:tcPr>
          <w:p w:rsidR="00D6770C" w:rsidRPr="00406A61" w:rsidRDefault="00D6770C" w:rsidP="00893FA0">
            <w:pPr>
              <w:rPr>
                <w:rFonts w:ascii="Arial" w:hAnsi="Arial"/>
                <w:szCs w:val="24"/>
              </w:rPr>
            </w:pPr>
          </w:p>
        </w:tc>
        <w:tc>
          <w:tcPr>
            <w:tcW w:w="35" w:type="dxa"/>
            <w:tcBorders>
              <w:top w:val="nil"/>
              <w:left w:val="nil"/>
              <w:bottom w:val="nil"/>
              <w:right w:val="nil"/>
            </w:tcBorders>
            <w:vAlign w:val="center"/>
            <w:hideMark/>
          </w:tcPr>
          <w:p w:rsidR="00D6770C" w:rsidRPr="00406A61" w:rsidRDefault="00D6770C" w:rsidP="00893FA0">
            <w:pPr>
              <w:rPr>
                <w:rFonts w:ascii="Arial" w:hAnsi="Arial" w:cs="Arial"/>
                <w:color w:val="434343"/>
                <w:kern w:val="0"/>
                <w:sz w:val="27"/>
                <w:szCs w:val="27"/>
              </w:rPr>
            </w:pPr>
            <w:r w:rsidRPr="00406A61">
              <w:rPr>
                <w:rFonts w:ascii="Arial" w:hAnsi="Arial" w:cs="Arial"/>
                <w:color w:val="434343"/>
                <w:kern w:val="0"/>
                <w:sz w:val="27"/>
                <w:szCs w:val="27"/>
              </w:rPr>
              <w:t> </w:t>
            </w:r>
          </w:p>
        </w:tc>
      </w:tr>
      <w:tr w:rsidR="00D6770C" w:rsidRPr="00406A61" w:rsidTr="00893FA0">
        <w:trPr>
          <w:trHeight w:val="687"/>
        </w:trPr>
        <w:tc>
          <w:tcPr>
            <w:tcW w:w="1096" w:type="dxa"/>
            <w:gridSpan w:val="2"/>
            <w:vMerge/>
            <w:tcBorders>
              <w:top w:val="nil"/>
              <w:left w:val="single" w:sz="12" w:space="0" w:color="auto"/>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697"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1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33</w:t>
            </w:r>
            <w:r w:rsidRPr="00406A61">
              <w:rPr>
                <w:rFonts w:hint="eastAsia"/>
                <w:szCs w:val="24"/>
              </w:rPr>
              <w:t>分</w:t>
            </w:r>
          </w:p>
        </w:tc>
        <w:tc>
          <w:tcPr>
            <w:tcW w:w="279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第</w:t>
            </w:r>
            <w:r w:rsidRPr="00406A61">
              <w:rPr>
                <w:rFonts w:ascii="Times New Roman" w:hAnsi="Times New Roman"/>
                <w:szCs w:val="24"/>
              </w:rPr>
              <w:t>16</w:t>
            </w:r>
            <w:r w:rsidRPr="00406A61">
              <w:rPr>
                <w:rFonts w:hint="eastAsia"/>
                <w:szCs w:val="24"/>
              </w:rPr>
              <w:t>至第</w:t>
            </w:r>
            <w:r w:rsidRPr="00406A61">
              <w:rPr>
                <w:rFonts w:ascii="Times New Roman" w:hAnsi="Times New Roman"/>
                <w:szCs w:val="24"/>
              </w:rPr>
              <w:t>20</w:t>
            </w:r>
            <w:r w:rsidRPr="00406A61">
              <w:rPr>
                <w:rFonts w:hint="eastAsia"/>
                <w:szCs w:val="24"/>
              </w:rPr>
              <w:t>志願</w:t>
            </w:r>
          </w:p>
        </w:tc>
        <w:tc>
          <w:tcPr>
            <w:tcW w:w="4655" w:type="dxa"/>
            <w:vMerge/>
            <w:tcBorders>
              <w:top w:val="nil"/>
              <w:left w:val="nil"/>
              <w:bottom w:val="single" w:sz="8" w:space="0" w:color="auto"/>
              <w:right w:val="single" w:sz="12" w:space="0" w:color="auto"/>
            </w:tcBorders>
            <w:vAlign w:val="center"/>
            <w:hideMark/>
          </w:tcPr>
          <w:p w:rsidR="00D6770C" w:rsidRPr="00406A61" w:rsidRDefault="00D6770C" w:rsidP="00893FA0">
            <w:pPr>
              <w:rPr>
                <w:rFonts w:ascii="Arial" w:hAnsi="Arial"/>
                <w:szCs w:val="24"/>
              </w:rPr>
            </w:pPr>
          </w:p>
        </w:tc>
        <w:tc>
          <w:tcPr>
            <w:tcW w:w="35" w:type="dxa"/>
            <w:tcBorders>
              <w:top w:val="nil"/>
              <w:left w:val="nil"/>
              <w:bottom w:val="nil"/>
              <w:right w:val="nil"/>
            </w:tcBorders>
            <w:vAlign w:val="center"/>
            <w:hideMark/>
          </w:tcPr>
          <w:p w:rsidR="00D6770C" w:rsidRPr="00406A61" w:rsidRDefault="00D6770C" w:rsidP="00893FA0">
            <w:pPr>
              <w:rPr>
                <w:rFonts w:ascii="Arial" w:hAnsi="Arial" w:cs="Arial"/>
                <w:color w:val="434343"/>
                <w:kern w:val="0"/>
                <w:sz w:val="27"/>
                <w:szCs w:val="27"/>
              </w:rPr>
            </w:pPr>
            <w:r w:rsidRPr="00406A61">
              <w:rPr>
                <w:rFonts w:ascii="Arial" w:hAnsi="Arial" w:cs="Arial"/>
                <w:color w:val="434343"/>
                <w:kern w:val="0"/>
                <w:sz w:val="27"/>
                <w:szCs w:val="27"/>
              </w:rPr>
              <w:t> </w:t>
            </w:r>
          </w:p>
        </w:tc>
      </w:tr>
      <w:tr w:rsidR="00D6770C" w:rsidRPr="00406A61" w:rsidTr="00893FA0">
        <w:trPr>
          <w:trHeight w:val="577"/>
        </w:trPr>
        <w:tc>
          <w:tcPr>
            <w:tcW w:w="1096" w:type="dxa"/>
            <w:gridSpan w:val="2"/>
            <w:vMerge/>
            <w:tcBorders>
              <w:top w:val="nil"/>
              <w:left w:val="single" w:sz="12" w:space="0" w:color="auto"/>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697"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1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32</w:t>
            </w:r>
            <w:r w:rsidRPr="00406A61">
              <w:rPr>
                <w:rFonts w:hint="eastAsia"/>
                <w:szCs w:val="24"/>
              </w:rPr>
              <w:t>分</w:t>
            </w:r>
          </w:p>
        </w:tc>
        <w:tc>
          <w:tcPr>
            <w:tcW w:w="279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第</w:t>
            </w:r>
            <w:r w:rsidRPr="00406A61">
              <w:rPr>
                <w:rFonts w:ascii="Times New Roman" w:hAnsi="Times New Roman"/>
                <w:szCs w:val="24"/>
              </w:rPr>
              <w:t>21</w:t>
            </w:r>
            <w:r w:rsidRPr="00406A61">
              <w:rPr>
                <w:rFonts w:hint="eastAsia"/>
                <w:szCs w:val="24"/>
              </w:rPr>
              <w:t>至第</w:t>
            </w:r>
            <w:r w:rsidRPr="00406A61">
              <w:rPr>
                <w:rFonts w:ascii="Times New Roman" w:hAnsi="Times New Roman"/>
                <w:szCs w:val="24"/>
              </w:rPr>
              <w:t>30</w:t>
            </w:r>
            <w:r w:rsidRPr="00406A61">
              <w:rPr>
                <w:rFonts w:hint="eastAsia"/>
                <w:szCs w:val="24"/>
              </w:rPr>
              <w:t>志願</w:t>
            </w:r>
          </w:p>
        </w:tc>
        <w:tc>
          <w:tcPr>
            <w:tcW w:w="4655" w:type="dxa"/>
            <w:vMerge/>
            <w:tcBorders>
              <w:top w:val="nil"/>
              <w:left w:val="nil"/>
              <w:bottom w:val="single" w:sz="8" w:space="0" w:color="auto"/>
              <w:right w:val="single" w:sz="12" w:space="0" w:color="auto"/>
            </w:tcBorders>
            <w:vAlign w:val="center"/>
            <w:hideMark/>
          </w:tcPr>
          <w:p w:rsidR="00D6770C" w:rsidRPr="00406A61" w:rsidRDefault="00D6770C" w:rsidP="00893FA0">
            <w:pPr>
              <w:rPr>
                <w:rFonts w:ascii="Arial" w:hAnsi="Arial"/>
                <w:szCs w:val="24"/>
              </w:rPr>
            </w:pPr>
          </w:p>
        </w:tc>
        <w:tc>
          <w:tcPr>
            <w:tcW w:w="35" w:type="dxa"/>
            <w:tcBorders>
              <w:top w:val="nil"/>
              <w:left w:val="nil"/>
              <w:bottom w:val="nil"/>
              <w:right w:val="nil"/>
            </w:tcBorders>
            <w:vAlign w:val="center"/>
            <w:hideMark/>
          </w:tcPr>
          <w:p w:rsidR="00D6770C" w:rsidRPr="00406A61" w:rsidRDefault="00D6770C" w:rsidP="00893FA0">
            <w:pPr>
              <w:rPr>
                <w:rFonts w:ascii="Arial" w:hAnsi="Arial" w:cs="Arial"/>
                <w:color w:val="434343"/>
                <w:kern w:val="0"/>
                <w:sz w:val="27"/>
                <w:szCs w:val="27"/>
              </w:rPr>
            </w:pPr>
            <w:r w:rsidRPr="00406A61">
              <w:rPr>
                <w:rFonts w:ascii="Arial" w:hAnsi="Arial" w:cs="Arial"/>
                <w:color w:val="434343"/>
                <w:kern w:val="0"/>
                <w:sz w:val="27"/>
                <w:szCs w:val="27"/>
              </w:rPr>
              <w:t> </w:t>
            </w:r>
          </w:p>
        </w:tc>
      </w:tr>
      <w:tr w:rsidR="00D6770C" w:rsidRPr="00406A61" w:rsidTr="00893FA0">
        <w:trPr>
          <w:trHeight w:val="683"/>
        </w:trPr>
        <w:tc>
          <w:tcPr>
            <w:tcW w:w="584"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多元學習表現</w:t>
            </w:r>
          </w:p>
        </w:tc>
        <w:tc>
          <w:tcPr>
            <w:tcW w:w="5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均衡學習</w:t>
            </w:r>
          </w:p>
        </w:tc>
        <w:tc>
          <w:tcPr>
            <w:tcW w:w="6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21</w:t>
            </w:r>
            <w:r w:rsidRPr="00406A61">
              <w:rPr>
                <w:rFonts w:hint="eastAsia"/>
                <w:szCs w:val="24"/>
              </w:rPr>
              <w:t>分</w:t>
            </w:r>
          </w:p>
        </w:tc>
        <w:tc>
          <w:tcPr>
            <w:tcW w:w="1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7</w:t>
            </w:r>
            <w:r w:rsidRPr="00406A61">
              <w:rPr>
                <w:rFonts w:hint="eastAsia"/>
                <w:szCs w:val="24"/>
              </w:rPr>
              <w:t>分</w:t>
            </w:r>
          </w:p>
        </w:tc>
        <w:tc>
          <w:tcPr>
            <w:tcW w:w="279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符合</w:t>
            </w:r>
            <w:r w:rsidRPr="00406A61">
              <w:rPr>
                <w:rFonts w:ascii="Times New Roman" w:hAnsi="Times New Roman"/>
                <w:szCs w:val="24"/>
              </w:rPr>
              <w:t>1</w:t>
            </w:r>
            <w:r w:rsidRPr="00406A61">
              <w:rPr>
                <w:rFonts w:hint="eastAsia"/>
                <w:szCs w:val="24"/>
              </w:rPr>
              <w:t>個領域</w:t>
            </w:r>
          </w:p>
        </w:tc>
        <w:tc>
          <w:tcPr>
            <w:tcW w:w="4655" w:type="dxa"/>
            <w:vMerge w:val="restart"/>
            <w:tcBorders>
              <w:top w:val="nil"/>
              <w:left w:val="nil"/>
              <w:bottom w:val="single" w:sz="8" w:space="0" w:color="auto"/>
              <w:right w:val="single" w:sz="12"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proofErr w:type="gramStart"/>
            <w:r w:rsidRPr="00406A61">
              <w:rPr>
                <w:rFonts w:hint="eastAsia"/>
                <w:szCs w:val="24"/>
              </w:rPr>
              <w:t>健體</w:t>
            </w:r>
            <w:proofErr w:type="gramEnd"/>
            <w:r w:rsidRPr="00406A61">
              <w:rPr>
                <w:rFonts w:hint="eastAsia"/>
                <w:szCs w:val="24"/>
              </w:rPr>
              <w:t>、藝文、綜合</w:t>
            </w:r>
            <w:proofErr w:type="gramStart"/>
            <w:r w:rsidRPr="00406A61">
              <w:rPr>
                <w:rFonts w:hint="eastAsia"/>
                <w:szCs w:val="24"/>
              </w:rPr>
              <w:t>三</w:t>
            </w:r>
            <w:proofErr w:type="gramEnd"/>
            <w:r w:rsidRPr="00406A61">
              <w:rPr>
                <w:rFonts w:hint="eastAsia"/>
                <w:szCs w:val="24"/>
              </w:rPr>
              <w:t>領域前五學期平均成績及格者。</w:t>
            </w:r>
          </w:p>
        </w:tc>
        <w:tc>
          <w:tcPr>
            <w:tcW w:w="35" w:type="dxa"/>
            <w:tcBorders>
              <w:top w:val="nil"/>
              <w:left w:val="nil"/>
              <w:bottom w:val="nil"/>
              <w:right w:val="nil"/>
            </w:tcBorders>
            <w:vAlign w:val="center"/>
            <w:hideMark/>
          </w:tcPr>
          <w:p w:rsidR="00D6770C" w:rsidRPr="00406A61" w:rsidRDefault="00D6770C" w:rsidP="00893FA0">
            <w:pPr>
              <w:rPr>
                <w:rFonts w:ascii="Arial" w:hAnsi="Arial" w:cs="Arial"/>
                <w:color w:val="434343"/>
                <w:kern w:val="0"/>
                <w:sz w:val="27"/>
                <w:szCs w:val="27"/>
              </w:rPr>
            </w:pPr>
            <w:r w:rsidRPr="00406A61">
              <w:rPr>
                <w:rFonts w:ascii="Arial" w:hAnsi="Arial" w:cs="Arial"/>
                <w:color w:val="434343"/>
                <w:kern w:val="0"/>
                <w:sz w:val="27"/>
                <w:szCs w:val="27"/>
              </w:rPr>
              <w:t> </w:t>
            </w:r>
          </w:p>
        </w:tc>
      </w:tr>
      <w:tr w:rsidR="00D6770C" w:rsidRPr="00406A61" w:rsidTr="00893FA0">
        <w:trPr>
          <w:cantSplit/>
          <w:trHeight w:val="559"/>
        </w:trPr>
        <w:tc>
          <w:tcPr>
            <w:tcW w:w="584" w:type="dxa"/>
            <w:vMerge/>
            <w:tcBorders>
              <w:top w:val="nil"/>
              <w:left w:val="single" w:sz="12" w:space="0" w:color="auto"/>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512"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697"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1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0</w:t>
            </w:r>
            <w:r w:rsidRPr="00406A61">
              <w:rPr>
                <w:rFonts w:hint="eastAsia"/>
                <w:szCs w:val="24"/>
              </w:rPr>
              <w:t>分</w:t>
            </w:r>
          </w:p>
        </w:tc>
        <w:tc>
          <w:tcPr>
            <w:tcW w:w="279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未符合</w:t>
            </w:r>
          </w:p>
        </w:tc>
        <w:tc>
          <w:tcPr>
            <w:tcW w:w="4655" w:type="dxa"/>
            <w:vMerge/>
            <w:tcBorders>
              <w:top w:val="nil"/>
              <w:left w:val="nil"/>
              <w:bottom w:val="single" w:sz="8" w:space="0" w:color="auto"/>
              <w:right w:val="single" w:sz="12" w:space="0" w:color="auto"/>
            </w:tcBorders>
            <w:vAlign w:val="center"/>
            <w:hideMark/>
          </w:tcPr>
          <w:p w:rsidR="00D6770C" w:rsidRPr="00406A61" w:rsidRDefault="00D6770C" w:rsidP="00893FA0">
            <w:pPr>
              <w:rPr>
                <w:rFonts w:ascii="Arial" w:hAnsi="Arial"/>
                <w:szCs w:val="24"/>
              </w:rPr>
            </w:pPr>
          </w:p>
        </w:tc>
        <w:tc>
          <w:tcPr>
            <w:tcW w:w="35" w:type="dxa"/>
            <w:tcBorders>
              <w:top w:val="nil"/>
              <w:left w:val="nil"/>
              <w:bottom w:val="nil"/>
              <w:right w:val="nil"/>
            </w:tcBorders>
            <w:vAlign w:val="center"/>
            <w:hideMark/>
          </w:tcPr>
          <w:p w:rsidR="00D6770C" w:rsidRPr="00406A61" w:rsidRDefault="00D6770C" w:rsidP="00893FA0">
            <w:pPr>
              <w:rPr>
                <w:rFonts w:ascii="Arial" w:hAnsi="Arial" w:cs="Arial"/>
                <w:color w:val="434343"/>
                <w:kern w:val="0"/>
                <w:sz w:val="27"/>
                <w:szCs w:val="27"/>
              </w:rPr>
            </w:pPr>
            <w:r w:rsidRPr="00406A61">
              <w:rPr>
                <w:rFonts w:ascii="Arial" w:hAnsi="Arial" w:cs="Arial"/>
                <w:color w:val="434343"/>
                <w:kern w:val="0"/>
                <w:sz w:val="27"/>
                <w:szCs w:val="27"/>
              </w:rPr>
              <w:t> </w:t>
            </w:r>
          </w:p>
        </w:tc>
      </w:tr>
      <w:tr w:rsidR="00D6770C" w:rsidRPr="00406A61" w:rsidTr="00893FA0">
        <w:trPr>
          <w:cantSplit/>
          <w:trHeight w:val="1300"/>
        </w:trPr>
        <w:tc>
          <w:tcPr>
            <w:tcW w:w="584" w:type="dxa"/>
            <w:vMerge/>
            <w:tcBorders>
              <w:top w:val="nil"/>
              <w:left w:val="single" w:sz="12" w:space="0" w:color="auto"/>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51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6770C" w:rsidRPr="00406A61" w:rsidRDefault="00D6770C" w:rsidP="00893FA0">
            <w:pPr>
              <w:rPr>
                <w:rFonts w:ascii="Arial" w:hAnsi="Arial"/>
                <w:szCs w:val="24"/>
              </w:rPr>
            </w:pPr>
          </w:p>
          <w:p w:rsidR="00D6770C" w:rsidRPr="00406A61" w:rsidRDefault="00D6770C" w:rsidP="00893FA0">
            <w:pPr>
              <w:rPr>
                <w:rFonts w:ascii="Arial" w:hAnsi="Arial"/>
                <w:szCs w:val="24"/>
              </w:rPr>
            </w:pPr>
            <w:r w:rsidRPr="00406A61">
              <w:rPr>
                <w:rFonts w:hint="eastAsia"/>
                <w:szCs w:val="24"/>
              </w:rPr>
              <w:t>服</w:t>
            </w:r>
          </w:p>
          <w:p w:rsidR="00D6770C" w:rsidRPr="00406A61" w:rsidRDefault="00D6770C" w:rsidP="00893FA0">
            <w:pPr>
              <w:rPr>
                <w:rFonts w:ascii="Arial" w:hAnsi="Arial"/>
                <w:szCs w:val="24"/>
              </w:rPr>
            </w:pPr>
            <w:proofErr w:type="gramStart"/>
            <w:r w:rsidRPr="00406A61">
              <w:rPr>
                <w:rFonts w:hint="eastAsia"/>
                <w:szCs w:val="24"/>
              </w:rPr>
              <w:t>務</w:t>
            </w:r>
            <w:proofErr w:type="gramEnd"/>
            <w:r w:rsidRPr="00406A61">
              <w:rPr>
                <w:rFonts w:hint="eastAsia"/>
                <w:szCs w:val="24"/>
              </w:rPr>
              <w:t>學習</w:t>
            </w:r>
          </w:p>
        </w:tc>
        <w:tc>
          <w:tcPr>
            <w:tcW w:w="6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15</w:t>
            </w:r>
            <w:r w:rsidRPr="00406A61">
              <w:rPr>
                <w:rFonts w:hint="eastAsia"/>
                <w:szCs w:val="24"/>
              </w:rPr>
              <w:t>分</w:t>
            </w:r>
          </w:p>
        </w:tc>
        <w:tc>
          <w:tcPr>
            <w:tcW w:w="1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5</w:t>
            </w:r>
            <w:r w:rsidRPr="00406A61">
              <w:rPr>
                <w:rFonts w:hint="eastAsia"/>
                <w:szCs w:val="24"/>
              </w:rPr>
              <w:t>分</w:t>
            </w:r>
          </w:p>
        </w:tc>
        <w:tc>
          <w:tcPr>
            <w:tcW w:w="279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每學期服務滿</w:t>
            </w:r>
            <w:r w:rsidRPr="00406A61">
              <w:rPr>
                <w:rFonts w:ascii="Times New Roman" w:hAnsi="Times New Roman"/>
                <w:szCs w:val="24"/>
              </w:rPr>
              <w:t>6</w:t>
            </w:r>
            <w:r w:rsidRPr="00406A61">
              <w:rPr>
                <w:rFonts w:hint="eastAsia"/>
                <w:szCs w:val="24"/>
              </w:rPr>
              <w:t>小時以上</w:t>
            </w:r>
          </w:p>
        </w:tc>
        <w:tc>
          <w:tcPr>
            <w:tcW w:w="4655" w:type="dxa"/>
            <w:vMerge w:val="restart"/>
            <w:tcBorders>
              <w:top w:val="nil"/>
              <w:left w:val="nil"/>
              <w:bottom w:val="single" w:sz="8" w:space="0" w:color="auto"/>
              <w:right w:val="single" w:sz="12" w:space="0" w:color="auto"/>
            </w:tcBorders>
            <w:tcMar>
              <w:top w:w="0" w:type="dxa"/>
              <w:left w:w="108" w:type="dxa"/>
              <w:bottom w:w="0" w:type="dxa"/>
              <w:right w:w="108" w:type="dxa"/>
            </w:tcMar>
            <w:hideMark/>
          </w:tcPr>
          <w:p w:rsidR="00D6770C" w:rsidRPr="00406A61" w:rsidRDefault="00D6770C" w:rsidP="00893FA0">
            <w:pPr>
              <w:rPr>
                <w:rFonts w:ascii="新細明體" w:hAnsi="新細明體" w:cs="新細明體"/>
                <w:szCs w:val="24"/>
              </w:rPr>
            </w:pPr>
            <w:r w:rsidRPr="00406A61">
              <w:rPr>
                <w:rFonts w:ascii="新細明體" w:hAnsi="新細明體" w:cs="新細明體"/>
                <w:szCs w:val="24"/>
              </w:rPr>
              <w:t>1.</w:t>
            </w:r>
            <w:r w:rsidRPr="00406A61">
              <w:rPr>
                <w:rFonts w:cs="新細明體" w:hint="eastAsia"/>
                <w:szCs w:val="24"/>
              </w:rPr>
              <w:t>由國中學校認證。</w:t>
            </w:r>
          </w:p>
          <w:p w:rsidR="00D6770C" w:rsidRPr="00406A61" w:rsidRDefault="00D6770C" w:rsidP="00893FA0">
            <w:pPr>
              <w:rPr>
                <w:rFonts w:ascii="新細明體" w:hAnsi="新細明體" w:cs="新細明體"/>
                <w:szCs w:val="24"/>
              </w:rPr>
            </w:pPr>
            <w:r w:rsidRPr="00406A61">
              <w:rPr>
                <w:rFonts w:ascii="新細明體" w:hAnsi="新細明體" w:cs="新細明體"/>
                <w:szCs w:val="24"/>
              </w:rPr>
              <w:t>2.</w:t>
            </w:r>
            <w:proofErr w:type="gramStart"/>
            <w:r w:rsidRPr="00406A61">
              <w:rPr>
                <w:rFonts w:cs="新細明體" w:hint="eastAsia"/>
                <w:szCs w:val="24"/>
              </w:rPr>
              <w:t>採</w:t>
            </w:r>
            <w:proofErr w:type="gramEnd"/>
            <w:r w:rsidRPr="00406A61">
              <w:rPr>
                <w:rFonts w:cs="新細明體" w:hint="eastAsia"/>
                <w:szCs w:val="24"/>
              </w:rPr>
              <w:t>計期間為</w:t>
            </w:r>
            <w:r w:rsidRPr="00406A61">
              <w:rPr>
                <w:rFonts w:cs="新細明體" w:hint="eastAsia"/>
                <w:szCs w:val="24"/>
              </w:rPr>
              <w:t>10</w:t>
            </w:r>
            <w:r>
              <w:rPr>
                <w:rFonts w:cs="新細明體" w:hint="eastAsia"/>
                <w:szCs w:val="24"/>
              </w:rPr>
              <w:t>3</w:t>
            </w:r>
            <w:r w:rsidRPr="00406A61">
              <w:rPr>
                <w:rFonts w:cs="新細明體" w:hint="eastAsia"/>
                <w:szCs w:val="24"/>
              </w:rPr>
              <w:t>學年度上學期至</w:t>
            </w:r>
            <w:r w:rsidRPr="00406A61">
              <w:rPr>
                <w:rFonts w:cs="新細明體" w:hint="eastAsia"/>
                <w:szCs w:val="24"/>
              </w:rPr>
              <w:t>10</w:t>
            </w:r>
            <w:r>
              <w:rPr>
                <w:rFonts w:cs="新細明體" w:hint="eastAsia"/>
                <w:szCs w:val="24"/>
              </w:rPr>
              <w:t>5</w:t>
            </w:r>
            <w:r w:rsidRPr="00406A61">
              <w:rPr>
                <w:rFonts w:cs="新細明體" w:hint="eastAsia"/>
                <w:szCs w:val="24"/>
              </w:rPr>
              <w:t>學年度上學期，</w:t>
            </w:r>
            <w:proofErr w:type="gramStart"/>
            <w:r w:rsidRPr="00406A61">
              <w:rPr>
                <w:rFonts w:cs="新細明體" w:hint="eastAsia"/>
                <w:szCs w:val="24"/>
              </w:rPr>
              <w:t>採</w:t>
            </w:r>
            <w:proofErr w:type="gramEnd"/>
            <w:r w:rsidRPr="00406A61">
              <w:rPr>
                <w:rFonts w:cs="新細明體" w:hint="eastAsia"/>
                <w:szCs w:val="24"/>
              </w:rPr>
              <w:t>計原則依「基北區免試入學服務學習時數認證及轉換</w:t>
            </w:r>
            <w:proofErr w:type="gramStart"/>
            <w:r w:rsidRPr="00406A61">
              <w:rPr>
                <w:rFonts w:cs="新細明體" w:hint="eastAsia"/>
                <w:szCs w:val="24"/>
              </w:rPr>
              <w:t>採</w:t>
            </w:r>
            <w:proofErr w:type="gramEnd"/>
            <w:r w:rsidRPr="00406A61">
              <w:rPr>
                <w:rFonts w:cs="新細明體" w:hint="eastAsia"/>
                <w:szCs w:val="24"/>
              </w:rPr>
              <w:t>計原則」辦理。</w:t>
            </w:r>
          </w:p>
          <w:p w:rsidR="00D6770C" w:rsidRPr="00406A61" w:rsidRDefault="00D6770C" w:rsidP="00893FA0">
            <w:pPr>
              <w:rPr>
                <w:rFonts w:ascii="新細明體" w:hAnsi="新細明體" w:cs="新細明體"/>
                <w:szCs w:val="24"/>
              </w:rPr>
            </w:pPr>
            <w:r w:rsidRPr="00406A61">
              <w:rPr>
                <w:rFonts w:cs="新細明體" w:hint="eastAsia"/>
                <w:szCs w:val="24"/>
              </w:rPr>
              <w:t>3.</w:t>
            </w:r>
            <w:r w:rsidRPr="00406A61">
              <w:rPr>
                <w:rFonts w:cs="新細明體" w:hint="eastAsia"/>
                <w:szCs w:val="24"/>
              </w:rPr>
              <w:t>非</w:t>
            </w:r>
            <w:proofErr w:type="gramStart"/>
            <w:r w:rsidRPr="00406A61">
              <w:rPr>
                <w:rFonts w:cs="新細明體" w:hint="eastAsia"/>
                <w:szCs w:val="24"/>
              </w:rPr>
              <w:t>應屆畢</w:t>
            </w:r>
            <w:proofErr w:type="gramEnd"/>
            <w:r w:rsidRPr="00406A61">
              <w:rPr>
                <w:rFonts w:cs="新細明體" w:hint="eastAsia"/>
                <w:szCs w:val="24"/>
              </w:rPr>
              <w:t>(</w:t>
            </w:r>
            <w:r w:rsidRPr="00406A61">
              <w:rPr>
                <w:rFonts w:cs="新細明體" w:hint="eastAsia"/>
                <w:szCs w:val="24"/>
              </w:rPr>
              <w:t>結</w:t>
            </w:r>
            <w:r w:rsidRPr="00406A61">
              <w:rPr>
                <w:rFonts w:cs="新細明體" w:hint="eastAsia"/>
                <w:szCs w:val="24"/>
              </w:rPr>
              <w:t>)</w:t>
            </w:r>
            <w:r w:rsidRPr="00406A61">
              <w:rPr>
                <w:rFonts w:cs="新細明體" w:hint="eastAsia"/>
                <w:szCs w:val="24"/>
              </w:rPr>
              <w:t>業生服務學習時數</w:t>
            </w:r>
            <w:proofErr w:type="gramStart"/>
            <w:r w:rsidRPr="00406A61">
              <w:rPr>
                <w:rFonts w:cs="新細明體" w:hint="eastAsia"/>
                <w:szCs w:val="24"/>
              </w:rPr>
              <w:t>採</w:t>
            </w:r>
            <w:proofErr w:type="gramEnd"/>
            <w:r w:rsidRPr="00406A61">
              <w:rPr>
                <w:rFonts w:cs="新細明體" w:hint="eastAsia"/>
                <w:szCs w:val="24"/>
              </w:rPr>
              <w:t>計，除上開採計期間外，亦得選擇國中在學</w:t>
            </w:r>
            <w:proofErr w:type="gramStart"/>
            <w:r w:rsidRPr="00406A61">
              <w:rPr>
                <w:rFonts w:cs="新細明體" w:hint="eastAsia"/>
                <w:szCs w:val="24"/>
              </w:rPr>
              <w:t>期間前</w:t>
            </w:r>
            <w:proofErr w:type="gramEnd"/>
            <w:r w:rsidRPr="00406A61">
              <w:rPr>
                <w:rFonts w:cs="新細明體" w:hint="eastAsia"/>
                <w:szCs w:val="24"/>
              </w:rPr>
              <w:t>5</w:t>
            </w:r>
            <w:r w:rsidRPr="00406A61">
              <w:rPr>
                <w:rFonts w:cs="新細明體" w:hint="eastAsia"/>
                <w:szCs w:val="24"/>
              </w:rPr>
              <w:t>學期選</w:t>
            </w:r>
            <w:r w:rsidRPr="00406A61">
              <w:rPr>
                <w:rFonts w:cs="新細明體" w:hint="eastAsia"/>
                <w:szCs w:val="24"/>
              </w:rPr>
              <w:t>3</w:t>
            </w:r>
            <w:r w:rsidRPr="00406A61">
              <w:rPr>
                <w:rFonts w:cs="新細明體" w:hint="eastAsia"/>
                <w:szCs w:val="24"/>
              </w:rPr>
              <w:t>學期進行</w:t>
            </w:r>
            <w:proofErr w:type="gramStart"/>
            <w:r w:rsidRPr="00406A61">
              <w:rPr>
                <w:rFonts w:cs="新細明體" w:hint="eastAsia"/>
                <w:szCs w:val="24"/>
              </w:rPr>
              <w:t>採</w:t>
            </w:r>
            <w:proofErr w:type="gramEnd"/>
            <w:r w:rsidRPr="00406A61">
              <w:rPr>
                <w:rFonts w:cs="新細明體" w:hint="eastAsia"/>
                <w:szCs w:val="24"/>
              </w:rPr>
              <w:t>計。</w:t>
            </w:r>
          </w:p>
        </w:tc>
        <w:tc>
          <w:tcPr>
            <w:tcW w:w="35" w:type="dxa"/>
            <w:tcBorders>
              <w:top w:val="nil"/>
              <w:left w:val="nil"/>
              <w:bottom w:val="nil"/>
              <w:right w:val="nil"/>
            </w:tcBorders>
            <w:vAlign w:val="center"/>
            <w:hideMark/>
          </w:tcPr>
          <w:p w:rsidR="00D6770C" w:rsidRPr="00406A61" w:rsidRDefault="00D6770C" w:rsidP="00893FA0">
            <w:pPr>
              <w:rPr>
                <w:rFonts w:ascii="Arial" w:hAnsi="Arial" w:cs="Arial"/>
                <w:color w:val="434343"/>
                <w:kern w:val="0"/>
                <w:sz w:val="27"/>
                <w:szCs w:val="27"/>
              </w:rPr>
            </w:pPr>
            <w:r w:rsidRPr="00406A61">
              <w:rPr>
                <w:rFonts w:ascii="Arial" w:hAnsi="Arial" w:cs="Arial"/>
                <w:color w:val="434343"/>
                <w:kern w:val="0"/>
                <w:sz w:val="27"/>
                <w:szCs w:val="27"/>
              </w:rPr>
              <w:t> </w:t>
            </w:r>
          </w:p>
        </w:tc>
      </w:tr>
      <w:tr w:rsidR="00D6770C" w:rsidRPr="00406A61" w:rsidTr="00893FA0">
        <w:trPr>
          <w:cantSplit/>
          <w:trHeight w:val="984"/>
        </w:trPr>
        <w:tc>
          <w:tcPr>
            <w:tcW w:w="584" w:type="dxa"/>
            <w:vMerge/>
            <w:tcBorders>
              <w:top w:val="nil"/>
              <w:left w:val="single" w:sz="12" w:space="0" w:color="auto"/>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512"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697"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1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0</w:t>
            </w:r>
            <w:r w:rsidRPr="00406A61">
              <w:rPr>
                <w:rFonts w:hint="eastAsia"/>
                <w:szCs w:val="24"/>
              </w:rPr>
              <w:t>分</w:t>
            </w:r>
          </w:p>
        </w:tc>
        <w:tc>
          <w:tcPr>
            <w:tcW w:w="279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每學期服務未滿</w:t>
            </w:r>
            <w:r w:rsidRPr="00406A61">
              <w:rPr>
                <w:rFonts w:ascii="Times New Roman" w:hAnsi="Times New Roman"/>
                <w:szCs w:val="24"/>
              </w:rPr>
              <w:t>6</w:t>
            </w:r>
            <w:r w:rsidRPr="00406A61">
              <w:rPr>
                <w:rFonts w:hint="eastAsia"/>
                <w:szCs w:val="24"/>
              </w:rPr>
              <w:t>小時</w:t>
            </w:r>
          </w:p>
        </w:tc>
        <w:tc>
          <w:tcPr>
            <w:tcW w:w="4655" w:type="dxa"/>
            <w:vMerge/>
            <w:tcBorders>
              <w:top w:val="nil"/>
              <w:left w:val="nil"/>
              <w:bottom w:val="single" w:sz="8" w:space="0" w:color="auto"/>
              <w:right w:val="single" w:sz="12" w:space="0" w:color="auto"/>
            </w:tcBorders>
            <w:vAlign w:val="center"/>
            <w:hideMark/>
          </w:tcPr>
          <w:p w:rsidR="00D6770C" w:rsidRPr="00406A61" w:rsidRDefault="00D6770C" w:rsidP="00893FA0">
            <w:pPr>
              <w:rPr>
                <w:rFonts w:ascii="新細明體" w:hAnsi="新細明體" w:cs="新細明體"/>
                <w:szCs w:val="24"/>
              </w:rPr>
            </w:pPr>
          </w:p>
        </w:tc>
        <w:tc>
          <w:tcPr>
            <w:tcW w:w="35" w:type="dxa"/>
            <w:tcBorders>
              <w:top w:val="nil"/>
              <w:left w:val="nil"/>
              <w:bottom w:val="nil"/>
              <w:right w:val="nil"/>
            </w:tcBorders>
            <w:vAlign w:val="center"/>
            <w:hideMark/>
          </w:tcPr>
          <w:p w:rsidR="00D6770C" w:rsidRPr="00406A61" w:rsidRDefault="00D6770C" w:rsidP="00893FA0">
            <w:pPr>
              <w:rPr>
                <w:rFonts w:ascii="Arial" w:hAnsi="Arial" w:cs="Arial"/>
                <w:color w:val="434343"/>
                <w:kern w:val="0"/>
                <w:sz w:val="27"/>
                <w:szCs w:val="27"/>
              </w:rPr>
            </w:pPr>
            <w:r w:rsidRPr="00406A61">
              <w:rPr>
                <w:rFonts w:ascii="Arial" w:hAnsi="Arial" w:cs="Arial"/>
                <w:color w:val="434343"/>
                <w:kern w:val="0"/>
                <w:sz w:val="27"/>
                <w:szCs w:val="27"/>
              </w:rPr>
              <w:t> </w:t>
            </w:r>
          </w:p>
        </w:tc>
      </w:tr>
      <w:tr w:rsidR="00D6770C" w:rsidRPr="00406A61" w:rsidTr="00893FA0">
        <w:trPr>
          <w:trHeight w:val="890"/>
        </w:trPr>
        <w:tc>
          <w:tcPr>
            <w:tcW w:w="584"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國中</w:t>
            </w:r>
            <w:r w:rsidRPr="00406A61">
              <w:rPr>
                <w:rFonts w:ascii="Times New Roman" w:hAnsi="Times New Roman"/>
                <w:szCs w:val="24"/>
              </w:rPr>
              <w:br/>
            </w:r>
            <w:r w:rsidRPr="00406A61">
              <w:rPr>
                <w:rFonts w:hint="eastAsia"/>
                <w:szCs w:val="24"/>
              </w:rPr>
              <w:t>教育</w:t>
            </w:r>
            <w:r w:rsidRPr="00406A61">
              <w:rPr>
                <w:rFonts w:ascii="Times New Roman" w:hAnsi="Times New Roman"/>
                <w:szCs w:val="24"/>
              </w:rPr>
              <w:br/>
            </w:r>
            <w:r w:rsidRPr="00406A61">
              <w:rPr>
                <w:rFonts w:hint="eastAsia"/>
                <w:szCs w:val="24"/>
              </w:rPr>
              <w:t>會考</w:t>
            </w:r>
          </w:p>
        </w:tc>
        <w:tc>
          <w:tcPr>
            <w:tcW w:w="5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r w:rsidRPr="00406A61">
              <w:rPr>
                <w:rFonts w:cs="新細明體" w:hint="eastAsia"/>
                <w:szCs w:val="24"/>
              </w:rPr>
              <w:t>五科</w:t>
            </w:r>
          </w:p>
          <w:p w:rsidR="00D6770C" w:rsidRPr="00406A61" w:rsidRDefault="00D6770C" w:rsidP="00893FA0">
            <w:pPr>
              <w:rPr>
                <w:rFonts w:ascii="Arial" w:hAnsi="Arial"/>
                <w:szCs w:val="24"/>
              </w:rPr>
            </w:pPr>
          </w:p>
        </w:tc>
        <w:tc>
          <w:tcPr>
            <w:tcW w:w="6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35</w:t>
            </w:r>
            <w:r w:rsidRPr="00406A61">
              <w:rPr>
                <w:rFonts w:hint="eastAsia"/>
                <w:szCs w:val="24"/>
              </w:rPr>
              <w:t>分</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r w:rsidRPr="00406A61">
              <w:rPr>
                <w:rFonts w:cs="新細明體" w:hint="eastAsia"/>
                <w:szCs w:val="24"/>
              </w:rPr>
              <w:t>7</w:t>
            </w:r>
          </w:p>
          <w:p w:rsidR="00D6770C" w:rsidRPr="00406A61" w:rsidRDefault="00D6770C" w:rsidP="00893FA0">
            <w:pPr>
              <w:rPr>
                <w:rFonts w:ascii="新細明體" w:hAnsi="新細明體" w:cs="新細明體"/>
                <w:szCs w:val="24"/>
              </w:rPr>
            </w:pPr>
            <w:r w:rsidRPr="00406A61">
              <w:rPr>
                <w:rFonts w:cs="新細明體" w:hint="eastAsia"/>
                <w:szCs w:val="24"/>
              </w:rPr>
              <w:t>分</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r w:rsidRPr="00406A61">
              <w:rPr>
                <w:rFonts w:cs="新細明體" w:hint="eastAsia"/>
                <w:szCs w:val="24"/>
              </w:rPr>
              <w:t>6</w:t>
            </w:r>
            <w:r w:rsidRPr="00406A61">
              <w:rPr>
                <w:rFonts w:cs="新細明體" w:hint="eastAsia"/>
                <w:szCs w:val="24"/>
              </w:rPr>
              <w:t>分</w:t>
            </w:r>
          </w:p>
        </w:tc>
        <w:tc>
          <w:tcPr>
            <w:tcW w:w="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r w:rsidRPr="00406A61">
              <w:rPr>
                <w:rFonts w:cs="新細明體" w:hint="eastAsia"/>
                <w:szCs w:val="24"/>
              </w:rPr>
              <w:t>5</w:t>
            </w:r>
            <w:r w:rsidRPr="00406A61">
              <w:rPr>
                <w:rFonts w:cs="新細明體" w:hint="eastAsia"/>
                <w:szCs w:val="24"/>
              </w:rPr>
              <w:t>分</w:t>
            </w: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r w:rsidRPr="00406A61">
              <w:rPr>
                <w:rFonts w:cs="新細明體" w:hint="eastAsia"/>
                <w:szCs w:val="24"/>
              </w:rPr>
              <w:t>4</w:t>
            </w:r>
          </w:p>
          <w:p w:rsidR="00D6770C" w:rsidRPr="00406A61" w:rsidRDefault="00D6770C" w:rsidP="00893FA0">
            <w:pPr>
              <w:rPr>
                <w:rFonts w:ascii="新細明體" w:hAnsi="新細明體" w:cs="新細明體"/>
                <w:szCs w:val="24"/>
              </w:rPr>
            </w:pPr>
            <w:r w:rsidRPr="00406A61">
              <w:rPr>
                <w:rFonts w:cs="新細明體" w:hint="eastAsia"/>
                <w:szCs w:val="24"/>
              </w:rPr>
              <w:t>分</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r w:rsidRPr="00406A61">
              <w:rPr>
                <w:rFonts w:cs="新細明體" w:hint="eastAsia"/>
                <w:szCs w:val="24"/>
              </w:rPr>
              <w:t>3</w:t>
            </w:r>
            <w:r w:rsidRPr="00406A61">
              <w:rPr>
                <w:rFonts w:cs="新細明體" w:hint="eastAsia"/>
                <w:szCs w:val="24"/>
              </w:rPr>
              <w:t>分</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r w:rsidRPr="00406A61">
              <w:rPr>
                <w:rFonts w:cs="新細明體" w:hint="eastAsia"/>
                <w:szCs w:val="24"/>
              </w:rPr>
              <w:t>2</w:t>
            </w:r>
            <w:r w:rsidRPr="00406A61">
              <w:rPr>
                <w:rFonts w:cs="新細明體" w:hint="eastAsia"/>
                <w:szCs w:val="24"/>
              </w:rPr>
              <w:t>分</w:t>
            </w:r>
          </w:p>
        </w:tc>
        <w:tc>
          <w:tcPr>
            <w:tcW w:w="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r w:rsidRPr="00406A61">
              <w:rPr>
                <w:rFonts w:cs="新細明體" w:hint="eastAsia"/>
                <w:szCs w:val="24"/>
              </w:rPr>
              <w:t>1</w:t>
            </w:r>
            <w:r w:rsidRPr="00406A61">
              <w:rPr>
                <w:rFonts w:cs="新細明體" w:hint="eastAsia"/>
                <w:szCs w:val="24"/>
              </w:rPr>
              <w:t>分</w:t>
            </w:r>
          </w:p>
        </w:tc>
        <w:tc>
          <w:tcPr>
            <w:tcW w:w="4655" w:type="dxa"/>
            <w:vMerge w:val="restart"/>
            <w:tcBorders>
              <w:top w:val="nil"/>
              <w:left w:val="nil"/>
              <w:bottom w:val="single" w:sz="8" w:space="0" w:color="auto"/>
              <w:right w:val="single" w:sz="12"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cs="新細明體" w:hint="eastAsia"/>
                <w:szCs w:val="24"/>
              </w:rPr>
              <w:t>國文、數學、英語、社會、自然五科，各科按等級加標示轉換積分</w:t>
            </w:r>
            <w:r w:rsidRPr="00406A61">
              <w:rPr>
                <w:rFonts w:cs="新細明體" w:hint="eastAsia"/>
                <w:szCs w:val="24"/>
              </w:rPr>
              <w:t>1-7</w:t>
            </w:r>
            <w:r w:rsidRPr="00406A61">
              <w:rPr>
                <w:rFonts w:cs="新細明體" w:hint="eastAsia"/>
                <w:szCs w:val="24"/>
              </w:rPr>
              <w:t>分。</w:t>
            </w:r>
          </w:p>
        </w:tc>
        <w:tc>
          <w:tcPr>
            <w:tcW w:w="35" w:type="dxa"/>
            <w:tcBorders>
              <w:top w:val="nil"/>
              <w:left w:val="nil"/>
              <w:bottom w:val="nil"/>
              <w:right w:val="nil"/>
            </w:tcBorders>
            <w:vAlign w:val="center"/>
            <w:hideMark/>
          </w:tcPr>
          <w:p w:rsidR="00D6770C" w:rsidRPr="00406A61" w:rsidRDefault="00D6770C" w:rsidP="00893FA0">
            <w:pPr>
              <w:rPr>
                <w:rFonts w:ascii="Arial" w:hAnsi="Arial" w:cs="Arial"/>
                <w:color w:val="434343"/>
                <w:kern w:val="0"/>
                <w:sz w:val="27"/>
                <w:szCs w:val="27"/>
              </w:rPr>
            </w:pPr>
            <w:r w:rsidRPr="00406A61">
              <w:rPr>
                <w:rFonts w:ascii="Arial" w:hAnsi="Arial" w:cs="Arial"/>
                <w:color w:val="434343"/>
                <w:kern w:val="0"/>
                <w:sz w:val="27"/>
                <w:szCs w:val="27"/>
              </w:rPr>
              <w:t> </w:t>
            </w:r>
          </w:p>
        </w:tc>
      </w:tr>
      <w:tr w:rsidR="00D6770C" w:rsidRPr="00406A61" w:rsidTr="00893FA0">
        <w:trPr>
          <w:trHeight w:val="1064"/>
        </w:trPr>
        <w:tc>
          <w:tcPr>
            <w:tcW w:w="584" w:type="dxa"/>
            <w:vMerge/>
            <w:tcBorders>
              <w:top w:val="nil"/>
              <w:left w:val="single" w:sz="12" w:space="0" w:color="auto"/>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512"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697"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8560C" w:rsidRDefault="00D6770C" w:rsidP="00893FA0">
            <w:pPr>
              <w:rPr>
                <w:rFonts w:ascii="Arial" w:hAnsi="Arial"/>
                <w:sz w:val="22"/>
              </w:rPr>
            </w:pPr>
            <w:r w:rsidRPr="0048560C">
              <w:rPr>
                <w:rFonts w:ascii="Times New Roman" w:hAnsi="Times New Roman"/>
                <w:sz w:val="22"/>
              </w:rPr>
              <w:t>A++</w:t>
            </w:r>
          </w:p>
          <w:p w:rsidR="00D6770C" w:rsidRPr="0048560C" w:rsidRDefault="00D6770C" w:rsidP="00893FA0">
            <w:pPr>
              <w:rPr>
                <w:rFonts w:ascii="Arial" w:hAnsi="Arial"/>
                <w:sz w:val="22"/>
              </w:rPr>
            </w:pP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8560C" w:rsidRDefault="00D6770C" w:rsidP="00893FA0">
            <w:pPr>
              <w:rPr>
                <w:rFonts w:ascii="Arial" w:hAnsi="Arial"/>
                <w:sz w:val="22"/>
              </w:rPr>
            </w:pPr>
            <w:r w:rsidRPr="0048560C">
              <w:rPr>
                <w:rFonts w:ascii="Times New Roman" w:hAnsi="Times New Roman"/>
                <w:sz w:val="22"/>
              </w:rPr>
              <w:t>A+</w:t>
            </w:r>
          </w:p>
          <w:p w:rsidR="00D6770C" w:rsidRPr="0048560C" w:rsidRDefault="00D6770C" w:rsidP="00893FA0">
            <w:pPr>
              <w:rPr>
                <w:rFonts w:ascii="Arial" w:hAnsi="Arial"/>
                <w:sz w:val="22"/>
              </w:rPr>
            </w:pPr>
          </w:p>
        </w:tc>
        <w:tc>
          <w:tcPr>
            <w:tcW w:w="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8560C" w:rsidRDefault="00D6770C" w:rsidP="00893FA0">
            <w:pPr>
              <w:rPr>
                <w:rFonts w:ascii="Arial" w:hAnsi="Arial"/>
                <w:sz w:val="22"/>
              </w:rPr>
            </w:pPr>
            <w:r w:rsidRPr="0048560C">
              <w:rPr>
                <w:rFonts w:ascii="Times New Roman" w:hAnsi="Times New Roman"/>
                <w:sz w:val="22"/>
              </w:rPr>
              <w:t>A</w:t>
            </w:r>
          </w:p>
          <w:p w:rsidR="00D6770C" w:rsidRPr="0048560C" w:rsidRDefault="00D6770C" w:rsidP="00893FA0">
            <w:pPr>
              <w:rPr>
                <w:rFonts w:ascii="Arial" w:hAnsi="Arial"/>
                <w:sz w:val="22"/>
              </w:rPr>
            </w:pP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8560C" w:rsidRDefault="00D6770C" w:rsidP="00893FA0">
            <w:pPr>
              <w:rPr>
                <w:rFonts w:ascii="Arial" w:hAnsi="Arial"/>
                <w:sz w:val="22"/>
              </w:rPr>
            </w:pPr>
            <w:r w:rsidRPr="0048560C">
              <w:rPr>
                <w:rFonts w:ascii="Times New Roman" w:hAnsi="Times New Roman"/>
                <w:sz w:val="22"/>
              </w:rPr>
              <w:t>B++</w:t>
            </w:r>
          </w:p>
          <w:p w:rsidR="00D6770C" w:rsidRPr="0048560C" w:rsidRDefault="00D6770C" w:rsidP="00893FA0">
            <w:pPr>
              <w:rPr>
                <w:rFonts w:ascii="Arial" w:hAnsi="Arial"/>
                <w:sz w:val="22"/>
              </w:rPr>
            </w:pP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8560C" w:rsidRDefault="00D6770C" w:rsidP="00893FA0">
            <w:pPr>
              <w:rPr>
                <w:rFonts w:ascii="Arial" w:hAnsi="Arial"/>
                <w:sz w:val="22"/>
              </w:rPr>
            </w:pPr>
            <w:r w:rsidRPr="0048560C">
              <w:rPr>
                <w:rFonts w:ascii="Times New Roman" w:hAnsi="Times New Roman"/>
                <w:sz w:val="22"/>
              </w:rPr>
              <w:t>B+</w:t>
            </w:r>
          </w:p>
          <w:p w:rsidR="00D6770C" w:rsidRPr="0048560C" w:rsidRDefault="00D6770C" w:rsidP="00893FA0">
            <w:pPr>
              <w:rPr>
                <w:rFonts w:ascii="Arial" w:hAnsi="Arial"/>
                <w:sz w:val="22"/>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8560C" w:rsidRDefault="00D6770C" w:rsidP="00893FA0">
            <w:pPr>
              <w:rPr>
                <w:rFonts w:ascii="Arial" w:hAnsi="Arial"/>
                <w:sz w:val="22"/>
              </w:rPr>
            </w:pPr>
            <w:r w:rsidRPr="0048560C">
              <w:rPr>
                <w:rFonts w:ascii="Times New Roman" w:hAnsi="Times New Roman"/>
                <w:sz w:val="22"/>
              </w:rPr>
              <w:t>B</w:t>
            </w:r>
          </w:p>
          <w:p w:rsidR="00D6770C" w:rsidRPr="0048560C" w:rsidRDefault="00D6770C" w:rsidP="00893FA0">
            <w:pPr>
              <w:rPr>
                <w:rFonts w:ascii="Arial" w:hAnsi="Arial"/>
                <w:sz w:val="22"/>
              </w:rPr>
            </w:pPr>
          </w:p>
        </w:tc>
        <w:tc>
          <w:tcPr>
            <w:tcW w:w="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8560C" w:rsidRDefault="00D6770C" w:rsidP="00893FA0">
            <w:pPr>
              <w:rPr>
                <w:rFonts w:ascii="Arial" w:hAnsi="Arial"/>
                <w:sz w:val="22"/>
              </w:rPr>
            </w:pPr>
            <w:r w:rsidRPr="0048560C">
              <w:rPr>
                <w:rFonts w:ascii="Times New Roman" w:hAnsi="Times New Roman"/>
                <w:sz w:val="22"/>
              </w:rPr>
              <w:t>C</w:t>
            </w:r>
          </w:p>
          <w:p w:rsidR="00D6770C" w:rsidRPr="0048560C" w:rsidRDefault="00D6770C" w:rsidP="00893FA0">
            <w:pPr>
              <w:rPr>
                <w:rFonts w:ascii="Arial" w:hAnsi="Arial"/>
                <w:sz w:val="22"/>
              </w:rPr>
            </w:pPr>
          </w:p>
        </w:tc>
        <w:tc>
          <w:tcPr>
            <w:tcW w:w="4655" w:type="dxa"/>
            <w:vMerge/>
            <w:tcBorders>
              <w:top w:val="nil"/>
              <w:left w:val="nil"/>
              <w:bottom w:val="single" w:sz="8" w:space="0" w:color="auto"/>
              <w:right w:val="single" w:sz="12" w:space="0" w:color="auto"/>
            </w:tcBorders>
            <w:vAlign w:val="center"/>
            <w:hideMark/>
          </w:tcPr>
          <w:p w:rsidR="00D6770C" w:rsidRPr="00406A61" w:rsidRDefault="00D6770C" w:rsidP="00893FA0">
            <w:pPr>
              <w:rPr>
                <w:rFonts w:ascii="Arial" w:hAnsi="Arial"/>
                <w:szCs w:val="24"/>
              </w:rPr>
            </w:pPr>
          </w:p>
        </w:tc>
        <w:tc>
          <w:tcPr>
            <w:tcW w:w="35" w:type="dxa"/>
            <w:tcBorders>
              <w:top w:val="nil"/>
              <w:left w:val="nil"/>
              <w:bottom w:val="nil"/>
              <w:right w:val="nil"/>
            </w:tcBorders>
            <w:vAlign w:val="center"/>
            <w:hideMark/>
          </w:tcPr>
          <w:p w:rsidR="00D6770C" w:rsidRPr="00406A61" w:rsidRDefault="00D6770C" w:rsidP="00893FA0">
            <w:pPr>
              <w:rPr>
                <w:rFonts w:ascii="Arial" w:hAnsi="Arial" w:cs="Arial"/>
                <w:color w:val="434343"/>
                <w:kern w:val="0"/>
                <w:sz w:val="27"/>
                <w:szCs w:val="27"/>
              </w:rPr>
            </w:pPr>
            <w:r w:rsidRPr="00406A61">
              <w:rPr>
                <w:rFonts w:ascii="Arial" w:hAnsi="Arial" w:cs="Arial"/>
                <w:color w:val="434343"/>
                <w:kern w:val="0"/>
                <w:sz w:val="27"/>
                <w:szCs w:val="27"/>
              </w:rPr>
              <w:t> </w:t>
            </w:r>
          </w:p>
        </w:tc>
      </w:tr>
      <w:tr w:rsidR="00D6770C" w:rsidRPr="00406A61" w:rsidTr="00893FA0">
        <w:trPr>
          <w:trHeight w:val="225"/>
        </w:trPr>
        <w:tc>
          <w:tcPr>
            <w:tcW w:w="584" w:type="dxa"/>
            <w:vMerge/>
            <w:tcBorders>
              <w:top w:val="nil"/>
              <w:left w:val="single" w:sz="12" w:space="0" w:color="auto"/>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5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r w:rsidRPr="00406A61">
              <w:rPr>
                <w:rFonts w:cs="新細明體" w:hint="eastAsia"/>
                <w:szCs w:val="24"/>
              </w:rPr>
              <w:t>寫作測驗</w:t>
            </w:r>
          </w:p>
        </w:tc>
        <w:tc>
          <w:tcPr>
            <w:tcW w:w="6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1</w:t>
            </w:r>
            <w:r w:rsidRPr="00406A61">
              <w:rPr>
                <w:rFonts w:hint="eastAsia"/>
                <w:szCs w:val="24"/>
              </w:rPr>
              <w:t>分</w:t>
            </w:r>
          </w:p>
        </w:tc>
        <w:tc>
          <w:tcPr>
            <w:tcW w:w="6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1</w:t>
            </w:r>
          </w:p>
          <w:p w:rsidR="00D6770C" w:rsidRPr="00406A61" w:rsidRDefault="00D6770C" w:rsidP="00893FA0">
            <w:pPr>
              <w:rPr>
                <w:rFonts w:ascii="Arial" w:hAnsi="Arial"/>
                <w:szCs w:val="24"/>
              </w:rPr>
            </w:pPr>
            <w:r w:rsidRPr="00406A61">
              <w:rPr>
                <w:rFonts w:hint="eastAsia"/>
                <w:szCs w:val="24"/>
              </w:rPr>
              <w:t>分</w:t>
            </w:r>
          </w:p>
          <w:p w:rsidR="00D6770C" w:rsidRPr="00406A61" w:rsidRDefault="00D6770C" w:rsidP="00893FA0">
            <w:pPr>
              <w:rPr>
                <w:rFonts w:ascii="Arial" w:hAnsi="Arial"/>
                <w:szCs w:val="24"/>
              </w:rPr>
            </w:pPr>
          </w:p>
        </w:tc>
        <w:tc>
          <w:tcPr>
            <w:tcW w:w="56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0.8</w:t>
            </w:r>
            <w:r w:rsidRPr="00406A61">
              <w:rPr>
                <w:rFonts w:hint="eastAsia"/>
                <w:szCs w:val="24"/>
              </w:rPr>
              <w:t>分</w:t>
            </w:r>
          </w:p>
          <w:p w:rsidR="00D6770C" w:rsidRPr="00406A61" w:rsidRDefault="00D6770C" w:rsidP="00893FA0">
            <w:pPr>
              <w:rPr>
                <w:rFonts w:ascii="Arial" w:hAnsi="Arial"/>
                <w:szCs w:val="24"/>
              </w:rPr>
            </w:pPr>
          </w:p>
        </w:tc>
        <w:tc>
          <w:tcPr>
            <w:tcW w:w="5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0.6</w:t>
            </w:r>
            <w:r w:rsidRPr="00406A61">
              <w:rPr>
                <w:rFonts w:hint="eastAsia"/>
                <w:szCs w:val="24"/>
              </w:rPr>
              <w:t>分</w:t>
            </w:r>
          </w:p>
          <w:p w:rsidR="00D6770C" w:rsidRPr="00406A61" w:rsidRDefault="00D6770C" w:rsidP="00893FA0">
            <w:pPr>
              <w:rPr>
                <w:rFonts w:ascii="Arial" w:hAnsi="Arial"/>
                <w:szCs w:val="24"/>
              </w:rPr>
            </w:pPr>
          </w:p>
        </w:tc>
        <w:tc>
          <w:tcPr>
            <w:tcW w:w="6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0.4</w:t>
            </w:r>
            <w:r w:rsidRPr="00406A61">
              <w:rPr>
                <w:rFonts w:hint="eastAsia"/>
                <w:szCs w:val="24"/>
              </w:rPr>
              <w:t>分</w:t>
            </w:r>
          </w:p>
          <w:p w:rsidR="00D6770C" w:rsidRPr="00406A61" w:rsidRDefault="00D6770C" w:rsidP="00893FA0">
            <w:pPr>
              <w:rPr>
                <w:rFonts w:ascii="Arial" w:hAnsi="Arial"/>
                <w:szCs w:val="24"/>
              </w:rPr>
            </w:pPr>
          </w:p>
        </w:tc>
        <w:tc>
          <w:tcPr>
            <w:tcW w:w="5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Pr>
                <w:rFonts w:ascii="Times New Roman" w:hAnsi="Times New Roman" w:hint="eastAsia"/>
                <w:szCs w:val="24"/>
              </w:rPr>
              <w:t>0.2</w:t>
            </w:r>
            <w:r w:rsidRPr="00406A61">
              <w:rPr>
                <w:rFonts w:hint="eastAsia"/>
                <w:szCs w:val="24"/>
              </w:rPr>
              <w:t>分</w:t>
            </w:r>
          </w:p>
          <w:p w:rsidR="00D6770C" w:rsidRPr="00406A61" w:rsidRDefault="00D6770C" w:rsidP="00893FA0">
            <w:pPr>
              <w:rPr>
                <w:rFonts w:ascii="Arial" w:hAnsi="Arial"/>
                <w:szCs w:val="24"/>
              </w:rPr>
            </w:pPr>
          </w:p>
        </w:tc>
        <w:tc>
          <w:tcPr>
            <w:tcW w:w="5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0.1</w:t>
            </w:r>
            <w:r w:rsidRPr="00406A61">
              <w:rPr>
                <w:rFonts w:hint="eastAsia"/>
                <w:szCs w:val="24"/>
              </w:rPr>
              <w:t>分</w:t>
            </w:r>
          </w:p>
          <w:p w:rsidR="00D6770C" w:rsidRPr="00406A61" w:rsidRDefault="00D6770C" w:rsidP="00893FA0">
            <w:pPr>
              <w:rPr>
                <w:rFonts w:ascii="Arial" w:hAnsi="Arial"/>
                <w:szCs w:val="24"/>
              </w:rPr>
            </w:pPr>
          </w:p>
        </w:tc>
        <w:tc>
          <w:tcPr>
            <w:tcW w:w="448" w:type="dxa"/>
            <w:tcBorders>
              <w:top w:val="nil"/>
              <w:left w:val="nil"/>
              <w:bottom w:val="nil"/>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p>
        </w:tc>
        <w:tc>
          <w:tcPr>
            <w:tcW w:w="4655" w:type="dxa"/>
            <w:vMerge w:val="restart"/>
            <w:tcBorders>
              <w:top w:val="nil"/>
              <w:left w:val="nil"/>
              <w:bottom w:val="single" w:sz="8" w:space="0" w:color="auto"/>
              <w:right w:val="single" w:sz="12"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寫作測驗</w:t>
            </w:r>
            <w:r w:rsidRPr="00406A61">
              <w:rPr>
                <w:rFonts w:hint="eastAsia"/>
                <w:szCs w:val="24"/>
              </w:rPr>
              <w:t>1-6</w:t>
            </w:r>
            <w:r w:rsidRPr="00406A61">
              <w:rPr>
                <w:rFonts w:hint="eastAsia"/>
                <w:szCs w:val="24"/>
              </w:rPr>
              <w:t>級分轉換積分</w:t>
            </w:r>
            <w:r w:rsidRPr="00406A61">
              <w:rPr>
                <w:rFonts w:hint="eastAsia"/>
                <w:szCs w:val="24"/>
              </w:rPr>
              <w:t>0.1-1</w:t>
            </w:r>
            <w:r w:rsidRPr="00406A61">
              <w:rPr>
                <w:rFonts w:hint="eastAsia"/>
                <w:szCs w:val="24"/>
              </w:rPr>
              <w:t>分。</w:t>
            </w:r>
          </w:p>
        </w:tc>
        <w:tc>
          <w:tcPr>
            <w:tcW w:w="35" w:type="dxa"/>
            <w:tcBorders>
              <w:top w:val="nil"/>
              <w:left w:val="nil"/>
              <w:bottom w:val="nil"/>
              <w:right w:val="nil"/>
            </w:tcBorders>
            <w:vAlign w:val="center"/>
            <w:hideMark/>
          </w:tcPr>
          <w:p w:rsidR="00D6770C" w:rsidRPr="00406A61" w:rsidRDefault="00D6770C" w:rsidP="00893FA0">
            <w:pPr>
              <w:spacing w:line="225" w:lineRule="atLeast"/>
              <w:rPr>
                <w:rFonts w:ascii="Arial" w:hAnsi="Arial" w:cs="Arial"/>
                <w:color w:val="434343"/>
                <w:kern w:val="0"/>
                <w:sz w:val="27"/>
                <w:szCs w:val="27"/>
              </w:rPr>
            </w:pPr>
            <w:r w:rsidRPr="00406A61">
              <w:rPr>
                <w:rFonts w:ascii="Arial" w:hAnsi="Arial" w:cs="Arial"/>
                <w:color w:val="434343"/>
                <w:kern w:val="0"/>
                <w:sz w:val="27"/>
                <w:szCs w:val="27"/>
              </w:rPr>
              <w:t> </w:t>
            </w:r>
          </w:p>
        </w:tc>
      </w:tr>
      <w:tr w:rsidR="00D6770C" w:rsidRPr="00406A61" w:rsidTr="00893FA0">
        <w:trPr>
          <w:trHeight w:val="539"/>
        </w:trPr>
        <w:tc>
          <w:tcPr>
            <w:tcW w:w="584" w:type="dxa"/>
            <w:vMerge/>
            <w:tcBorders>
              <w:top w:val="nil"/>
              <w:left w:val="single" w:sz="12" w:space="0" w:color="auto"/>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512"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新細明體" w:hAnsi="新細明體" w:cs="新細明體"/>
                <w:szCs w:val="24"/>
              </w:rPr>
            </w:pPr>
          </w:p>
        </w:tc>
        <w:tc>
          <w:tcPr>
            <w:tcW w:w="697"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657"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561"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556"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625"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594"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567"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4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p>
        </w:tc>
        <w:tc>
          <w:tcPr>
            <w:tcW w:w="4655" w:type="dxa"/>
            <w:vMerge/>
            <w:tcBorders>
              <w:top w:val="nil"/>
              <w:left w:val="nil"/>
              <w:bottom w:val="single" w:sz="8" w:space="0" w:color="auto"/>
              <w:right w:val="single" w:sz="12" w:space="0" w:color="auto"/>
            </w:tcBorders>
            <w:vAlign w:val="center"/>
            <w:hideMark/>
          </w:tcPr>
          <w:p w:rsidR="00D6770C" w:rsidRPr="00406A61" w:rsidRDefault="00D6770C" w:rsidP="00893FA0">
            <w:pPr>
              <w:rPr>
                <w:rFonts w:ascii="Arial" w:hAnsi="Arial"/>
                <w:szCs w:val="24"/>
              </w:rPr>
            </w:pPr>
          </w:p>
        </w:tc>
        <w:tc>
          <w:tcPr>
            <w:tcW w:w="35" w:type="dxa"/>
            <w:tcBorders>
              <w:top w:val="nil"/>
              <w:left w:val="nil"/>
              <w:bottom w:val="nil"/>
              <w:right w:val="nil"/>
            </w:tcBorders>
            <w:vAlign w:val="center"/>
            <w:hideMark/>
          </w:tcPr>
          <w:p w:rsidR="00D6770C" w:rsidRPr="00406A61" w:rsidRDefault="00D6770C" w:rsidP="00893FA0">
            <w:pPr>
              <w:rPr>
                <w:rFonts w:ascii="Arial" w:hAnsi="Arial" w:cs="Arial"/>
                <w:color w:val="434343"/>
                <w:kern w:val="0"/>
                <w:sz w:val="27"/>
                <w:szCs w:val="27"/>
              </w:rPr>
            </w:pPr>
            <w:r w:rsidRPr="00406A61">
              <w:rPr>
                <w:rFonts w:ascii="Arial" w:hAnsi="Arial" w:cs="Arial"/>
                <w:color w:val="434343"/>
                <w:kern w:val="0"/>
                <w:sz w:val="27"/>
                <w:szCs w:val="27"/>
              </w:rPr>
              <w:t> </w:t>
            </w:r>
          </w:p>
        </w:tc>
      </w:tr>
      <w:tr w:rsidR="00D6770C" w:rsidRPr="00406A61" w:rsidTr="00893FA0">
        <w:trPr>
          <w:trHeight w:val="947"/>
        </w:trPr>
        <w:tc>
          <w:tcPr>
            <w:tcW w:w="584" w:type="dxa"/>
            <w:vMerge/>
            <w:tcBorders>
              <w:top w:val="nil"/>
              <w:left w:val="single" w:sz="12" w:space="0" w:color="auto"/>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512"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新細明體" w:hAnsi="新細明體" w:cs="新細明體"/>
                <w:szCs w:val="24"/>
              </w:rPr>
            </w:pPr>
          </w:p>
        </w:tc>
        <w:tc>
          <w:tcPr>
            <w:tcW w:w="697"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Arial" w:hAnsi="Arial"/>
                <w:szCs w:val="24"/>
              </w:rPr>
            </w:pP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r w:rsidRPr="00406A61">
              <w:rPr>
                <w:rFonts w:cs="新細明體" w:hint="eastAsia"/>
                <w:szCs w:val="24"/>
              </w:rPr>
              <w:t>6</w:t>
            </w:r>
          </w:p>
          <w:p w:rsidR="00D6770C" w:rsidRPr="00406A61" w:rsidRDefault="00D6770C" w:rsidP="00893FA0">
            <w:pPr>
              <w:rPr>
                <w:rFonts w:ascii="新細明體" w:hAnsi="新細明體" w:cs="新細明體"/>
                <w:szCs w:val="24"/>
              </w:rPr>
            </w:pPr>
            <w:r w:rsidRPr="00406A61">
              <w:rPr>
                <w:rFonts w:cs="新細明體" w:hint="eastAsia"/>
                <w:szCs w:val="24"/>
              </w:rPr>
              <w:t>級</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r w:rsidRPr="00406A61">
              <w:rPr>
                <w:rFonts w:cs="新細明體" w:hint="eastAsia"/>
                <w:szCs w:val="24"/>
              </w:rPr>
              <w:t>5</w:t>
            </w:r>
            <w:r w:rsidRPr="00406A61">
              <w:rPr>
                <w:rFonts w:cs="新細明體" w:hint="eastAsia"/>
                <w:szCs w:val="24"/>
              </w:rPr>
              <w:t>級</w:t>
            </w:r>
          </w:p>
        </w:tc>
        <w:tc>
          <w:tcPr>
            <w:tcW w:w="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r w:rsidRPr="00406A61">
              <w:rPr>
                <w:rFonts w:cs="新細明體" w:hint="eastAsia"/>
                <w:szCs w:val="24"/>
              </w:rPr>
              <w:t>4</w:t>
            </w:r>
            <w:r w:rsidRPr="00406A61">
              <w:rPr>
                <w:rFonts w:cs="新細明體" w:hint="eastAsia"/>
                <w:szCs w:val="24"/>
              </w:rPr>
              <w:t>級</w:t>
            </w: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r w:rsidRPr="00406A61">
              <w:rPr>
                <w:rFonts w:cs="新細明體" w:hint="eastAsia"/>
                <w:szCs w:val="24"/>
              </w:rPr>
              <w:t>3</w:t>
            </w:r>
          </w:p>
          <w:p w:rsidR="00D6770C" w:rsidRPr="00406A61" w:rsidRDefault="00D6770C" w:rsidP="00893FA0">
            <w:pPr>
              <w:rPr>
                <w:rFonts w:ascii="新細明體" w:hAnsi="新細明體" w:cs="新細明體"/>
                <w:szCs w:val="24"/>
              </w:rPr>
            </w:pPr>
            <w:r w:rsidRPr="00406A61">
              <w:rPr>
                <w:rFonts w:cs="新細明體" w:hint="eastAsia"/>
                <w:szCs w:val="24"/>
              </w:rPr>
              <w:t>級</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r w:rsidRPr="00406A61">
              <w:rPr>
                <w:rFonts w:cs="新細明體" w:hint="eastAsia"/>
                <w:szCs w:val="24"/>
              </w:rPr>
              <w:t>2</w:t>
            </w:r>
            <w:r w:rsidRPr="00406A61">
              <w:rPr>
                <w:rFonts w:cs="新細明體" w:hint="eastAsia"/>
                <w:szCs w:val="24"/>
              </w:rPr>
              <w:t>級</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新細明體" w:hAnsi="新細明體" w:cs="新細明體"/>
                <w:szCs w:val="24"/>
              </w:rPr>
            </w:pPr>
            <w:r w:rsidRPr="00406A61">
              <w:rPr>
                <w:rFonts w:cs="新細明體" w:hint="eastAsia"/>
                <w:szCs w:val="24"/>
              </w:rPr>
              <w:t>1</w:t>
            </w:r>
            <w:r w:rsidRPr="00406A61">
              <w:rPr>
                <w:rFonts w:cs="新細明體" w:hint="eastAsia"/>
                <w:szCs w:val="24"/>
              </w:rPr>
              <w:t>級</w:t>
            </w:r>
          </w:p>
        </w:tc>
        <w:tc>
          <w:tcPr>
            <w:tcW w:w="448" w:type="dxa"/>
            <w:vMerge/>
            <w:tcBorders>
              <w:top w:val="nil"/>
              <w:left w:val="nil"/>
              <w:bottom w:val="single" w:sz="8" w:space="0" w:color="auto"/>
              <w:right w:val="single" w:sz="8" w:space="0" w:color="auto"/>
            </w:tcBorders>
            <w:vAlign w:val="center"/>
            <w:hideMark/>
          </w:tcPr>
          <w:p w:rsidR="00D6770C" w:rsidRPr="00406A61" w:rsidRDefault="00D6770C" w:rsidP="00893FA0">
            <w:pPr>
              <w:rPr>
                <w:rFonts w:ascii="新細明體" w:hAnsi="新細明體" w:cs="新細明體"/>
                <w:szCs w:val="24"/>
              </w:rPr>
            </w:pPr>
          </w:p>
        </w:tc>
        <w:tc>
          <w:tcPr>
            <w:tcW w:w="4655" w:type="dxa"/>
            <w:vMerge/>
            <w:tcBorders>
              <w:top w:val="nil"/>
              <w:left w:val="nil"/>
              <w:bottom w:val="single" w:sz="8" w:space="0" w:color="auto"/>
              <w:right w:val="single" w:sz="12" w:space="0" w:color="auto"/>
            </w:tcBorders>
            <w:vAlign w:val="center"/>
            <w:hideMark/>
          </w:tcPr>
          <w:p w:rsidR="00D6770C" w:rsidRPr="00406A61" w:rsidRDefault="00D6770C" w:rsidP="00893FA0">
            <w:pPr>
              <w:rPr>
                <w:rFonts w:ascii="Arial" w:hAnsi="Arial"/>
                <w:szCs w:val="24"/>
              </w:rPr>
            </w:pPr>
          </w:p>
        </w:tc>
        <w:tc>
          <w:tcPr>
            <w:tcW w:w="35" w:type="dxa"/>
            <w:tcBorders>
              <w:top w:val="nil"/>
              <w:left w:val="nil"/>
              <w:bottom w:val="nil"/>
              <w:right w:val="nil"/>
            </w:tcBorders>
            <w:vAlign w:val="center"/>
            <w:hideMark/>
          </w:tcPr>
          <w:p w:rsidR="00D6770C" w:rsidRPr="00406A61" w:rsidRDefault="00D6770C" w:rsidP="00893FA0">
            <w:pPr>
              <w:rPr>
                <w:rFonts w:ascii="Arial" w:hAnsi="Arial" w:cs="Arial"/>
                <w:color w:val="434343"/>
                <w:kern w:val="0"/>
                <w:sz w:val="27"/>
                <w:szCs w:val="27"/>
              </w:rPr>
            </w:pPr>
            <w:r w:rsidRPr="00406A61">
              <w:rPr>
                <w:rFonts w:ascii="Arial" w:hAnsi="Arial" w:cs="Arial"/>
                <w:color w:val="434343"/>
                <w:kern w:val="0"/>
                <w:sz w:val="27"/>
                <w:szCs w:val="27"/>
              </w:rPr>
              <w:t> </w:t>
            </w:r>
          </w:p>
        </w:tc>
      </w:tr>
      <w:tr w:rsidR="00D6770C" w:rsidRPr="00406A61" w:rsidTr="00893FA0">
        <w:trPr>
          <w:trHeight w:val="135"/>
        </w:trPr>
        <w:tc>
          <w:tcPr>
            <w:tcW w:w="1096" w:type="dxa"/>
            <w:gridSpan w:val="2"/>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hint="eastAsia"/>
                <w:szCs w:val="24"/>
              </w:rPr>
              <w:t>總積分</w:t>
            </w:r>
          </w:p>
        </w:tc>
        <w:tc>
          <w:tcPr>
            <w:tcW w:w="9360" w:type="dxa"/>
            <w:gridSpan w:val="9"/>
            <w:tcBorders>
              <w:top w:val="nil"/>
              <w:left w:val="nil"/>
              <w:bottom w:val="single" w:sz="12" w:space="0" w:color="auto"/>
              <w:right w:val="single" w:sz="12" w:space="0" w:color="auto"/>
            </w:tcBorders>
            <w:tcMar>
              <w:top w:w="0" w:type="dxa"/>
              <w:left w:w="108" w:type="dxa"/>
              <w:bottom w:w="0" w:type="dxa"/>
              <w:right w:w="108" w:type="dxa"/>
            </w:tcMar>
            <w:vAlign w:val="center"/>
            <w:hideMark/>
          </w:tcPr>
          <w:p w:rsidR="00D6770C" w:rsidRPr="00406A61" w:rsidRDefault="00D6770C" w:rsidP="00893FA0">
            <w:pPr>
              <w:rPr>
                <w:rFonts w:ascii="Arial" w:hAnsi="Arial"/>
                <w:szCs w:val="24"/>
              </w:rPr>
            </w:pPr>
            <w:r w:rsidRPr="00406A61">
              <w:rPr>
                <w:rFonts w:ascii="Times New Roman" w:hAnsi="Times New Roman"/>
                <w:szCs w:val="24"/>
              </w:rPr>
              <w:t>108</w:t>
            </w:r>
            <w:r w:rsidRPr="00406A61">
              <w:rPr>
                <w:rFonts w:hint="eastAsia"/>
                <w:szCs w:val="24"/>
              </w:rPr>
              <w:t>分</w:t>
            </w:r>
          </w:p>
        </w:tc>
        <w:tc>
          <w:tcPr>
            <w:tcW w:w="35" w:type="dxa"/>
            <w:vAlign w:val="center"/>
            <w:hideMark/>
          </w:tcPr>
          <w:p w:rsidR="00D6770C" w:rsidRPr="00406A61" w:rsidRDefault="00D6770C" w:rsidP="00893FA0">
            <w:pPr>
              <w:rPr>
                <w:rFonts w:ascii="Times New Roman" w:eastAsia="Times New Roman" w:hAnsi="Times New Roman"/>
                <w:kern w:val="0"/>
                <w:sz w:val="20"/>
                <w:szCs w:val="20"/>
              </w:rPr>
            </w:pPr>
          </w:p>
        </w:tc>
      </w:tr>
    </w:tbl>
    <w:p w:rsidR="00D6770C" w:rsidRDefault="00D6770C" w:rsidP="00D6770C">
      <w:pPr>
        <w:pStyle w:val="Web"/>
        <w:snapToGrid w:val="0"/>
        <w:spacing w:beforeLines="100" w:before="360" w:beforeAutospacing="0" w:after="0" w:afterAutospacing="0" w:line="120" w:lineRule="auto"/>
        <w:rPr>
          <w:rFonts w:ascii="標楷體" w:eastAsia="標楷體" w:hAnsi="標楷體"/>
          <w:b/>
          <w:sz w:val="48"/>
          <w:szCs w:val="48"/>
        </w:rPr>
      </w:pPr>
    </w:p>
    <w:p w:rsidR="009F7DC9" w:rsidRDefault="009F7DC9"/>
    <w:sectPr w:rsidR="009F7DC9" w:rsidSect="00620542">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7D" w:rsidRDefault="0023437D" w:rsidP="00620542">
      <w:r>
        <w:separator/>
      </w:r>
    </w:p>
  </w:endnote>
  <w:endnote w:type="continuationSeparator" w:id="0">
    <w:p w:rsidR="0023437D" w:rsidRDefault="0023437D" w:rsidP="006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7D" w:rsidRDefault="0023437D" w:rsidP="00620542">
      <w:r>
        <w:separator/>
      </w:r>
    </w:p>
  </w:footnote>
  <w:footnote w:type="continuationSeparator" w:id="0">
    <w:p w:rsidR="0023437D" w:rsidRDefault="0023437D" w:rsidP="00620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E4C"/>
    <w:multiLevelType w:val="hybridMultilevel"/>
    <w:tmpl w:val="3B22F78E"/>
    <w:lvl w:ilvl="0" w:tplc="A16AF7C8">
      <w:start w:val="1"/>
      <w:numFmt w:val="taiwaneseCountingThousand"/>
      <w:lvlText w:val="(%1)"/>
      <w:lvlJc w:val="left"/>
      <w:pPr>
        <w:ind w:left="840" w:hanging="360"/>
      </w:pPr>
      <w:rPr>
        <w:rFonts w:ascii="新細明體" w:eastAsia="新細明體" w:hAnsi="新細明體"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C041EE3"/>
    <w:multiLevelType w:val="hybridMultilevel"/>
    <w:tmpl w:val="54047E16"/>
    <w:lvl w:ilvl="0" w:tplc="3162E9D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5A3C09E4"/>
    <w:multiLevelType w:val="hybridMultilevel"/>
    <w:tmpl w:val="AC860786"/>
    <w:lvl w:ilvl="0" w:tplc="17686EDE">
      <w:start w:val="1"/>
      <w:numFmt w:val="taiwaneseCountingThousand"/>
      <w:lvlText w:val="(%1)"/>
      <w:lvlJc w:val="left"/>
      <w:pPr>
        <w:ind w:left="840" w:hanging="360"/>
      </w:pPr>
      <w:rPr>
        <w:rFonts w:ascii="新細明體" w:eastAsia="新細明體" w:hAnsi="新細明體"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7970013D"/>
    <w:multiLevelType w:val="hybridMultilevel"/>
    <w:tmpl w:val="0C905F4C"/>
    <w:lvl w:ilvl="0" w:tplc="66C28E36">
      <w:start w:val="2"/>
      <w:numFmt w:val="taiwaneseCountingThousand"/>
      <w:lvlText w:val="(%1)"/>
      <w:lvlJc w:val="left"/>
      <w:pPr>
        <w:ind w:left="840" w:hanging="360"/>
      </w:pPr>
      <w:rPr>
        <w:rFonts w:ascii="新細明體" w:eastAsia="新細明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F3204B1"/>
    <w:multiLevelType w:val="hybridMultilevel"/>
    <w:tmpl w:val="95A69978"/>
    <w:lvl w:ilvl="0" w:tplc="84B8F44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0C"/>
    <w:rsid w:val="0023437D"/>
    <w:rsid w:val="00620542"/>
    <w:rsid w:val="009F7DC9"/>
    <w:rsid w:val="00D677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0C"/>
    <w:pPr>
      <w:jc w:val="both"/>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6770C"/>
    <w:pPr>
      <w:spacing w:before="100" w:beforeAutospacing="1" w:after="100" w:afterAutospacing="1"/>
    </w:pPr>
    <w:rPr>
      <w:rFonts w:ascii="新細明體" w:hAnsi="新細明體" w:cs="新細明體"/>
      <w:kern w:val="0"/>
      <w:szCs w:val="24"/>
    </w:rPr>
  </w:style>
  <w:style w:type="character" w:styleId="a3">
    <w:name w:val="Strong"/>
    <w:uiPriority w:val="22"/>
    <w:qFormat/>
    <w:rsid w:val="00D6770C"/>
    <w:rPr>
      <w:b/>
      <w:bCs/>
    </w:rPr>
  </w:style>
  <w:style w:type="paragraph" w:styleId="a4">
    <w:name w:val="header"/>
    <w:basedOn w:val="a"/>
    <w:link w:val="a5"/>
    <w:uiPriority w:val="99"/>
    <w:unhideWhenUsed/>
    <w:rsid w:val="00620542"/>
    <w:pPr>
      <w:tabs>
        <w:tab w:val="center" w:pos="4153"/>
        <w:tab w:val="right" w:pos="8306"/>
      </w:tabs>
      <w:snapToGrid w:val="0"/>
    </w:pPr>
    <w:rPr>
      <w:sz w:val="20"/>
      <w:szCs w:val="20"/>
    </w:rPr>
  </w:style>
  <w:style w:type="character" w:customStyle="1" w:styleId="a5">
    <w:name w:val="頁首 字元"/>
    <w:basedOn w:val="a0"/>
    <w:link w:val="a4"/>
    <w:uiPriority w:val="99"/>
    <w:rsid w:val="00620542"/>
    <w:rPr>
      <w:rFonts w:ascii="Calibri" w:hAnsi="Calibri"/>
      <w:kern w:val="2"/>
    </w:rPr>
  </w:style>
  <w:style w:type="paragraph" w:styleId="a6">
    <w:name w:val="footer"/>
    <w:basedOn w:val="a"/>
    <w:link w:val="a7"/>
    <w:uiPriority w:val="99"/>
    <w:unhideWhenUsed/>
    <w:rsid w:val="00620542"/>
    <w:pPr>
      <w:tabs>
        <w:tab w:val="center" w:pos="4153"/>
        <w:tab w:val="right" w:pos="8306"/>
      </w:tabs>
      <w:snapToGrid w:val="0"/>
    </w:pPr>
    <w:rPr>
      <w:sz w:val="20"/>
      <w:szCs w:val="20"/>
    </w:rPr>
  </w:style>
  <w:style w:type="character" w:customStyle="1" w:styleId="a7">
    <w:name w:val="頁尾 字元"/>
    <w:basedOn w:val="a0"/>
    <w:link w:val="a6"/>
    <w:uiPriority w:val="99"/>
    <w:rsid w:val="00620542"/>
    <w:rPr>
      <w:rFonts w:ascii="Calibri" w:hAnsi="Calibri"/>
      <w:kern w:val="2"/>
    </w:rPr>
  </w:style>
  <w:style w:type="paragraph" w:styleId="a8">
    <w:name w:val="Balloon Text"/>
    <w:basedOn w:val="a"/>
    <w:link w:val="a9"/>
    <w:uiPriority w:val="99"/>
    <w:semiHidden/>
    <w:unhideWhenUsed/>
    <w:rsid w:val="006205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2054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0C"/>
    <w:pPr>
      <w:jc w:val="both"/>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6770C"/>
    <w:pPr>
      <w:spacing w:before="100" w:beforeAutospacing="1" w:after="100" w:afterAutospacing="1"/>
    </w:pPr>
    <w:rPr>
      <w:rFonts w:ascii="新細明體" w:hAnsi="新細明體" w:cs="新細明體"/>
      <w:kern w:val="0"/>
      <w:szCs w:val="24"/>
    </w:rPr>
  </w:style>
  <w:style w:type="character" w:styleId="a3">
    <w:name w:val="Strong"/>
    <w:uiPriority w:val="22"/>
    <w:qFormat/>
    <w:rsid w:val="00D6770C"/>
    <w:rPr>
      <w:b/>
      <w:bCs/>
    </w:rPr>
  </w:style>
  <w:style w:type="paragraph" w:styleId="a4">
    <w:name w:val="header"/>
    <w:basedOn w:val="a"/>
    <w:link w:val="a5"/>
    <w:uiPriority w:val="99"/>
    <w:unhideWhenUsed/>
    <w:rsid w:val="00620542"/>
    <w:pPr>
      <w:tabs>
        <w:tab w:val="center" w:pos="4153"/>
        <w:tab w:val="right" w:pos="8306"/>
      </w:tabs>
      <w:snapToGrid w:val="0"/>
    </w:pPr>
    <w:rPr>
      <w:sz w:val="20"/>
      <w:szCs w:val="20"/>
    </w:rPr>
  </w:style>
  <w:style w:type="character" w:customStyle="1" w:styleId="a5">
    <w:name w:val="頁首 字元"/>
    <w:basedOn w:val="a0"/>
    <w:link w:val="a4"/>
    <w:uiPriority w:val="99"/>
    <w:rsid w:val="00620542"/>
    <w:rPr>
      <w:rFonts w:ascii="Calibri" w:hAnsi="Calibri"/>
      <w:kern w:val="2"/>
    </w:rPr>
  </w:style>
  <w:style w:type="paragraph" w:styleId="a6">
    <w:name w:val="footer"/>
    <w:basedOn w:val="a"/>
    <w:link w:val="a7"/>
    <w:uiPriority w:val="99"/>
    <w:unhideWhenUsed/>
    <w:rsid w:val="00620542"/>
    <w:pPr>
      <w:tabs>
        <w:tab w:val="center" w:pos="4153"/>
        <w:tab w:val="right" w:pos="8306"/>
      </w:tabs>
      <w:snapToGrid w:val="0"/>
    </w:pPr>
    <w:rPr>
      <w:sz w:val="20"/>
      <w:szCs w:val="20"/>
    </w:rPr>
  </w:style>
  <w:style w:type="character" w:customStyle="1" w:styleId="a7">
    <w:name w:val="頁尾 字元"/>
    <w:basedOn w:val="a0"/>
    <w:link w:val="a6"/>
    <w:uiPriority w:val="99"/>
    <w:rsid w:val="00620542"/>
    <w:rPr>
      <w:rFonts w:ascii="Calibri" w:hAnsi="Calibri"/>
      <w:kern w:val="2"/>
    </w:rPr>
  </w:style>
  <w:style w:type="paragraph" w:styleId="a8">
    <w:name w:val="Balloon Text"/>
    <w:basedOn w:val="a"/>
    <w:link w:val="a9"/>
    <w:uiPriority w:val="99"/>
    <w:semiHidden/>
    <w:unhideWhenUsed/>
    <w:rsid w:val="006205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205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2019-01-21T06:58:00Z</cp:lastPrinted>
  <dcterms:created xsi:type="dcterms:W3CDTF">2019-01-21T03:00:00Z</dcterms:created>
  <dcterms:modified xsi:type="dcterms:W3CDTF">2019-01-21T06:58:00Z</dcterms:modified>
</cp:coreProperties>
</file>